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2E87" w14:textId="17C28BAC"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Εισαγωγή</w:t>
      </w:r>
    </w:p>
    <w:p w14:paraId="508EE0AF" w14:textId="77777777" w:rsidR="00CC6FBE" w:rsidRPr="00CC6FBE" w:rsidRDefault="00CC6FBE" w:rsidP="00CC6FBE">
      <w:pPr>
        <w:rPr>
          <w:rFonts w:ascii="Calibri" w:hAnsi="Calibri" w:cs="Calibri"/>
        </w:rPr>
      </w:pPr>
      <w:r w:rsidRPr="00CC6FBE">
        <w:rPr>
          <w:rFonts w:ascii="Calibri" w:hAnsi="Calibri" w:cs="Calibri"/>
        </w:rPr>
        <w:t>Στη σύγχρονη εκπαιδευτική πραγματικότητα, ο ρόλος του εκπαιδευτικού έχει μετασχηματιστεί ουσιαστικά. Οι κοινωνικές, τεχνολογικές και παιδαγωγικές αλλαγές έχουν επηρεάσει βαθιά το σχολείο, μετατρέποντας τον εκπαιδευτικό από απλό μεταδότη γνώσεων σε καθοδηγητή, συντονιστή και δημιουργό μαθησιακών εμπειριών. Στο πλαίσιο ενός πολυπολιτισμικού και δυναμικά μεταβαλλόμενου περιβάλλοντος, οι εκπαιδευτικοί καλούνται να αναπτύξουν νέες δεξιότητες, να προσαρμοστούν σε ποικίλες ανάγκες μαθητών και να αξιοποιούν αποτελεσματικά τα τεχνολογικά εργαλεία.</w:t>
      </w:r>
    </w:p>
    <w:p w14:paraId="144E8C24" w14:textId="68D7D9B9" w:rsidR="00CC6FBE" w:rsidRPr="00CC6FBE" w:rsidRDefault="00CC6FBE" w:rsidP="00CC6FBE">
      <w:pPr>
        <w:rPr>
          <w:rFonts w:ascii="Calibri" w:hAnsi="Calibri" w:cs="Calibri"/>
        </w:rPr>
      </w:pPr>
      <w:r w:rsidRPr="00CC6FBE">
        <w:rPr>
          <w:rFonts w:ascii="Calibri" w:hAnsi="Calibri" w:cs="Calibri"/>
        </w:rPr>
        <w:t>Η επιμόρφωση αποτελεί πλέον απαραίτητο μηχανισμό επαγγελματικής εξέλιξης και ενδυνάμωσης, συνδεδεμένη με τη διά βίου μάθηση και τη </w:t>
      </w:r>
      <w:proofErr w:type="spellStart"/>
      <w:r w:rsidRPr="00CC6FBE">
        <w:rPr>
          <w:rFonts w:ascii="Calibri" w:hAnsi="Calibri" w:cs="Calibri"/>
        </w:rPr>
        <w:t>μεταγνωστική</w:t>
      </w:r>
      <w:proofErr w:type="spellEnd"/>
      <w:r w:rsidR="00152782">
        <w:rPr>
          <w:rFonts w:ascii="Calibri" w:hAnsi="Calibri" w:cs="Calibri"/>
        </w:rPr>
        <w:t xml:space="preserve">- </w:t>
      </w:r>
      <w:proofErr w:type="spellStart"/>
      <w:r w:rsidRPr="00CC6FBE">
        <w:rPr>
          <w:rFonts w:ascii="Calibri" w:hAnsi="Calibri" w:cs="Calibri"/>
        </w:rPr>
        <w:t>αναστοχαστική</w:t>
      </w:r>
      <w:proofErr w:type="spellEnd"/>
      <w:r w:rsidRPr="00CC6FBE">
        <w:rPr>
          <w:rFonts w:ascii="Calibri" w:hAnsi="Calibri" w:cs="Calibri"/>
        </w:rPr>
        <w:t xml:space="preserve"> πρακτική. Δεν στοχεύει μόνο στην απόκτηση νέων γνώσεων, αλλά κυρίως στην ανάπτυξη δεξιοτήτων όπως αυτοπεποίθηση, προσαρμοστικότητα, αυτορρύθμιση και ψυχολογική ανθεκτικότητα. Η αυτορρύθμιση επιτρέπει στους εκπαιδευτικούς να επανεξετάζουν και να βελτιώνουν συστηματικά τη διδακτική τους πρακτική, ανταποκρινόμενοι στις ανάγκες των μαθητών τους.</w:t>
      </w:r>
    </w:p>
    <w:p w14:paraId="24631081" w14:textId="77777777" w:rsidR="00CC6FBE" w:rsidRPr="00CC6FBE" w:rsidRDefault="00CC6FBE" w:rsidP="00CC6FBE">
      <w:pPr>
        <w:rPr>
          <w:rFonts w:ascii="Calibri" w:hAnsi="Calibri" w:cs="Calibri"/>
        </w:rPr>
      </w:pPr>
      <w:r w:rsidRPr="00CC6FBE">
        <w:rPr>
          <w:rFonts w:ascii="Calibri" w:hAnsi="Calibri" w:cs="Calibri"/>
        </w:rPr>
        <w:t xml:space="preserve">Η παρούσα εργασία επιδιώκει, μέσω συστηματικής βιβλιογραφικής </w:t>
      </w:r>
      <w:proofErr w:type="spellStart"/>
      <w:r w:rsidRPr="00CC6FBE">
        <w:rPr>
          <w:rFonts w:ascii="Calibri" w:hAnsi="Calibri" w:cs="Calibri"/>
        </w:rPr>
        <w:t>μετα</w:t>
      </w:r>
      <w:proofErr w:type="spellEnd"/>
      <w:r w:rsidRPr="00CC6FBE">
        <w:rPr>
          <w:rFonts w:ascii="Calibri" w:hAnsi="Calibri" w:cs="Calibri"/>
        </w:rPr>
        <w:t>-ανάλυσης, να διερευνήσει πώς η επιμόρφωση συμβάλλει στην ενδυνάμωση και στην αυτορρύθμιση των εκπαιδευτικών, εξετάζοντας τις πιο αποτελεσματικές μορφές επιμόρφωσης, τους παράγοντες που επηρεάζουν την επιτυχία τους, καθώς και τα κενά που εμφανίζονται στην ελληνική εκπαιδευτική πραγματικότητα.</w:t>
      </w:r>
      <w:r w:rsidRPr="00CC6FBE">
        <w:rPr>
          <w:rFonts w:ascii="Calibri" w:hAnsi="Calibri" w:cs="Calibri"/>
        </w:rPr>
        <w:br/>
        <w:t>Στο τέλος, η εργασία παρουσιάζει συμπεράσματα, περιορισμούς και προτάσεις για μελλοντική έρευνα.</w:t>
      </w:r>
    </w:p>
    <w:p w14:paraId="077CED06" w14:textId="008F9640" w:rsidR="00CC6FBE" w:rsidRPr="00CC6FBE" w:rsidRDefault="00CC6FBE" w:rsidP="00CC6FBE">
      <w:pPr>
        <w:rPr>
          <w:rFonts w:ascii="Calibri" w:hAnsi="Calibri" w:cs="Calibri"/>
        </w:rPr>
      </w:pPr>
    </w:p>
    <w:p w14:paraId="5E9DAF95"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2. Θεωρητικό Πλαίσιο</w:t>
      </w:r>
    </w:p>
    <w:p w14:paraId="6265CE01"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2.1 Εννοιολογική προσέγγιση της επιμόρφωσης</w:t>
      </w:r>
    </w:p>
    <w:p w14:paraId="769CE543" w14:textId="77777777" w:rsidR="00CC6FBE" w:rsidRPr="00CC6FBE" w:rsidRDefault="00CC6FBE" w:rsidP="00CC6FBE">
      <w:pPr>
        <w:rPr>
          <w:rFonts w:ascii="Calibri" w:hAnsi="Calibri" w:cs="Calibri"/>
        </w:rPr>
      </w:pPr>
      <w:r w:rsidRPr="00CC6FBE">
        <w:rPr>
          <w:rFonts w:ascii="Calibri" w:hAnsi="Calibri" w:cs="Calibri"/>
        </w:rPr>
        <w:t>Η επιμόρφωση ορίζεται ως συνεχής και οργανωμένη διαδικασία που στοχεύει στη βελτίωση των γνώσεων, δεξιοτήτων και στάσεων των εκπαιδευτικών σε όλη τη διάρκεια της καριέρας τους. Δεν περιορίζεται σε τυπικά σεμινάρια, αλλά περιλαμβάνει ένα σύνολο εμπειριών που προκύπτουν από την καθημερινή επαγγελματική πρακτική, την ανταλλαγή εμπειριών και τη διαρκή προσαρμογή στις μεταβαλλόμενες συνθήκες.</w:t>
      </w:r>
    </w:p>
    <w:p w14:paraId="7C142091" w14:textId="77777777" w:rsidR="00CC6FBE" w:rsidRPr="00CC6FBE" w:rsidRDefault="00CC6FBE" w:rsidP="00CC6FBE">
      <w:pPr>
        <w:rPr>
          <w:rFonts w:ascii="Calibri" w:hAnsi="Calibri" w:cs="Calibri"/>
        </w:rPr>
      </w:pPr>
      <w:r w:rsidRPr="00CC6FBE">
        <w:rPr>
          <w:rFonts w:ascii="Calibri" w:hAnsi="Calibri" w:cs="Calibri"/>
        </w:rPr>
        <w:t>Η διαφορά μεταξύ αρχικής εκπαίδευσης και επιμόρφωσης είναι θεμελιώδης:</w:t>
      </w:r>
    </w:p>
    <w:p w14:paraId="2B3243CD" w14:textId="77777777" w:rsidR="00CC6FBE" w:rsidRPr="00CC6FBE" w:rsidRDefault="00CC6FBE" w:rsidP="00CC6FBE">
      <w:pPr>
        <w:numPr>
          <w:ilvl w:val="0"/>
          <w:numId w:val="1"/>
        </w:numPr>
        <w:rPr>
          <w:rFonts w:ascii="Calibri" w:hAnsi="Calibri" w:cs="Calibri"/>
        </w:rPr>
      </w:pPr>
      <w:r w:rsidRPr="00CC6FBE">
        <w:rPr>
          <w:rFonts w:ascii="Calibri" w:hAnsi="Calibri" w:cs="Calibri"/>
        </w:rPr>
        <w:t>Η πρώτη παρέχει τη βασική παιδαγωγική και επιστημονική κατάρτιση.</w:t>
      </w:r>
    </w:p>
    <w:p w14:paraId="425FE351" w14:textId="77777777" w:rsidR="00CC6FBE" w:rsidRPr="00CC6FBE" w:rsidRDefault="00CC6FBE" w:rsidP="00CC6FBE">
      <w:pPr>
        <w:numPr>
          <w:ilvl w:val="0"/>
          <w:numId w:val="1"/>
        </w:numPr>
        <w:rPr>
          <w:rFonts w:ascii="Calibri" w:hAnsi="Calibri" w:cs="Calibri"/>
        </w:rPr>
      </w:pPr>
      <w:r w:rsidRPr="00CC6FBE">
        <w:rPr>
          <w:rFonts w:ascii="Calibri" w:hAnsi="Calibri" w:cs="Calibri"/>
        </w:rPr>
        <w:t xml:space="preserve">Η δεύτερη στοχεύει στην εμβάθυνση, ανανέωση και επέκταση των γνώσεων που έχουν ήδη αποκτηθεί, μέσα από την πράξη και τον </w:t>
      </w:r>
      <w:proofErr w:type="spellStart"/>
      <w:r w:rsidRPr="00CC6FBE">
        <w:rPr>
          <w:rFonts w:ascii="Calibri" w:hAnsi="Calibri" w:cs="Calibri"/>
        </w:rPr>
        <w:t>αναστοχασμό</w:t>
      </w:r>
      <w:proofErr w:type="spellEnd"/>
      <w:r w:rsidRPr="00CC6FBE">
        <w:rPr>
          <w:rFonts w:ascii="Calibri" w:hAnsi="Calibri" w:cs="Calibri"/>
        </w:rPr>
        <w:t>.</w:t>
      </w:r>
    </w:p>
    <w:p w14:paraId="73A07E14" w14:textId="77777777" w:rsidR="00CC6FBE" w:rsidRPr="00CC6FBE" w:rsidRDefault="00CC6FBE" w:rsidP="00CC6FBE">
      <w:pPr>
        <w:rPr>
          <w:rFonts w:ascii="Calibri" w:hAnsi="Calibri" w:cs="Calibri"/>
        </w:rPr>
      </w:pPr>
      <w:r w:rsidRPr="00CC6FBE">
        <w:rPr>
          <w:rFonts w:ascii="Calibri" w:hAnsi="Calibri" w:cs="Calibri"/>
        </w:rPr>
        <w:t>Τρεις μορφές επιμόρφωσης αναγνωρίζονται:</w:t>
      </w:r>
    </w:p>
    <w:p w14:paraId="6F11B56E" w14:textId="2C56DCA5" w:rsidR="00CC6FBE" w:rsidRPr="00CC6FBE" w:rsidRDefault="00CC6FBE" w:rsidP="00CC6FBE">
      <w:pPr>
        <w:numPr>
          <w:ilvl w:val="0"/>
          <w:numId w:val="2"/>
        </w:numPr>
        <w:rPr>
          <w:rFonts w:ascii="Calibri" w:hAnsi="Calibri" w:cs="Calibri"/>
        </w:rPr>
      </w:pPr>
      <w:r w:rsidRPr="00CC6FBE">
        <w:rPr>
          <w:rFonts w:ascii="Calibri" w:hAnsi="Calibri" w:cs="Calibri"/>
        </w:rPr>
        <w:t>Τυπική</w:t>
      </w:r>
      <w:r w:rsidR="00152782">
        <w:rPr>
          <w:rFonts w:ascii="Calibri" w:hAnsi="Calibri" w:cs="Calibri"/>
        </w:rPr>
        <w:t xml:space="preserve">: </w:t>
      </w:r>
      <w:r w:rsidRPr="00CC6FBE">
        <w:rPr>
          <w:rFonts w:ascii="Calibri" w:hAnsi="Calibri" w:cs="Calibri"/>
        </w:rPr>
        <w:t>οργανώνεται από επίσημους φορείς (π.χ. Υπουργείο, πανεπιστήμια).</w:t>
      </w:r>
    </w:p>
    <w:p w14:paraId="156A3A05" w14:textId="7AD0F4C5" w:rsidR="00CC6FBE" w:rsidRPr="00CC6FBE" w:rsidRDefault="00CC6FBE" w:rsidP="00CC6FBE">
      <w:pPr>
        <w:numPr>
          <w:ilvl w:val="0"/>
          <w:numId w:val="2"/>
        </w:numPr>
        <w:rPr>
          <w:rFonts w:ascii="Calibri" w:hAnsi="Calibri" w:cs="Calibri"/>
        </w:rPr>
      </w:pPr>
      <w:r w:rsidRPr="00CC6FBE">
        <w:rPr>
          <w:rFonts w:ascii="Calibri" w:hAnsi="Calibri" w:cs="Calibri"/>
        </w:rPr>
        <w:t>Μη τυπική</w:t>
      </w:r>
      <w:r w:rsidR="00152782">
        <w:rPr>
          <w:rFonts w:ascii="Calibri" w:hAnsi="Calibri" w:cs="Calibri"/>
        </w:rPr>
        <w:t xml:space="preserve">: </w:t>
      </w:r>
      <w:r w:rsidRPr="00CC6FBE">
        <w:rPr>
          <w:rFonts w:ascii="Calibri" w:hAnsi="Calibri" w:cs="Calibri"/>
        </w:rPr>
        <w:t>προγράμματα από οργανισμούς ή ερευνητικά κέντρα.</w:t>
      </w:r>
    </w:p>
    <w:p w14:paraId="27408B70" w14:textId="3B8817D2" w:rsidR="00CC6FBE" w:rsidRPr="00CC6FBE" w:rsidRDefault="00CC6FBE" w:rsidP="00CC6FBE">
      <w:pPr>
        <w:numPr>
          <w:ilvl w:val="0"/>
          <w:numId w:val="2"/>
        </w:numPr>
        <w:rPr>
          <w:rFonts w:ascii="Calibri" w:hAnsi="Calibri" w:cs="Calibri"/>
        </w:rPr>
      </w:pPr>
      <w:r w:rsidRPr="00CC6FBE">
        <w:rPr>
          <w:rFonts w:ascii="Calibri" w:hAnsi="Calibri" w:cs="Calibri"/>
        </w:rPr>
        <w:t>Άτυπη</w:t>
      </w:r>
      <w:r w:rsidR="00152782">
        <w:rPr>
          <w:rFonts w:ascii="Calibri" w:hAnsi="Calibri" w:cs="Calibri"/>
        </w:rPr>
        <w:t xml:space="preserve">: </w:t>
      </w:r>
      <w:proofErr w:type="spellStart"/>
      <w:r w:rsidRPr="00CC6FBE">
        <w:rPr>
          <w:rFonts w:ascii="Calibri" w:hAnsi="Calibri" w:cs="Calibri"/>
        </w:rPr>
        <w:t>αυτομόρφωση</w:t>
      </w:r>
      <w:proofErr w:type="spellEnd"/>
      <w:r w:rsidRPr="00CC6FBE">
        <w:rPr>
          <w:rFonts w:ascii="Calibri" w:hAnsi="Calibri" w:cs="Calibri"/>
        </w:rPr>
        <w:t xml:space="preserve"> και αλληλεπίδραση με συναδέλφους στο σχολικό περιβάλλον.</w:t>
      </w:r>
    </w:p>
    <w:p w14:paraId="7232154F" w14:textId="77777777" w:rsidR="00CC6FBE" w:rsidRPr="00CC6FBE" w:rsidRDefault="00CC6FBE" w:rsidP="00CC6FBE">
      <w:pPr>
        <w:rPr>
          <w:rFonts w:ascii="Calibri" w:hAnsi="Calibri" w:cs="Calibri"/>
        </w:rPr>
      </w:pPr>
      <w:r w:rsidRPr="00CC6FBE">
        <w:rPr>
          <w:rFonts w:ascii="Calibri" w:hAnsi="Calibri" w:cs="Calibri"/>
        </w:rPr>
        <w:t>Η επιμόρφωση πλέον στηρίζεται στη βιωματική και συνεργατική μάθηση, με τον εκπαιδευτικό σε ενεργό ρόλο, να καθορίζει τους στόχους και να αξιολογεί ο ίδιος την πρόοδό του.</w:t>
      </w:r>
    </w:p>
    <w:p w14:paraId="06687ECC" w14:textId="017BDDAC" w:rsidR="00CC6FBE" w:rsidRPr="00CC6FBE" w:rsidRDefault="00CC6FBE" w:rsidP="00CC6FBE">
      <w:pPr>
        <w:rPr>
          <w:rFonts w:ascii="Calibri" w:hAnsi="Calibri" w:cs="Calibri"/>
        </w:rPr>
      </w:pPr>
    </w:p>
    <w:p w14:paraId="71D51EC4"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lastRenderedPageBreak/>
        <w:t>2.2 Σκοποί και λειτουργίες της επιμόρφωσης</w:t>
      </w:r>
    </w:p>
    <w:p w14:paraId="180A2A0F" w14:textId="77777777" w:rsidR="00CC6FBE" w:rsidRPr="00CC6FBE" w:rsidRDefault="00CC6FBE" w:rsidP="00CC6FBE">
      <w:pPr>
        <w:rPr>
          <w:rFonts w:ascii="Calibri" w:hAnsi="Calibri" w:cs="Calibri"/>
        </w:rPr>
      </w:pPr>
      <w:r w:rsidRPr="00CC6FBE">
        <w:rPr>
          <w:rFonts w:ascii="Calibri" w:hAnsi="Calibri" w:cs="Calibri"/>
        </w:rPr>
        <w:t>Η σημερινή σχολική πραγματικότητα χαρακτηρίζεται από τεχνολογική εξέλιξη, πολιτισμική ετερογένεια και αυξημένες απαιτήσεις. Η επιμόρφωση των εκπαιδευτικών στοχεύει:</w:t>
      </w:r>
    </w:p>
    <w:p w14:paraId="58FC47A8" w14:textId="77777777" w:rsidR="00CC6FBE" w:rsidRPr="00CC6FBE" w:rsidRDefault="00CC6FBE" w:rsidP="00CC6FBE">
      <w:pPr>
        <w:numPr>
          <w:ilvl w:val="0"/>
          <w:numId w:val="3"/>
        </w:numPr>
        <w:rPr>
          <w:rFonts w:ascii="Calibri" w:hAnsi="Calibri" w:cs="Calibri"/>
        </w:rPr>
      </w:pPr>
      <w:r w:rsidRPr="00CC6FBE">
        <w:rPr>
          <w:rFonts w:ascii="Calibri" w:hAnsi="Calibri" w:cs="Calibri"/>
        </w:rPr>
        <w:t>Στην ενημέρωση και αξιοποίηση σύγχρονων εργαλείων (</w:t>
      </w:r>
      <w:proofErr w:type="spellStart"/>
      <w:r w:rsidRPr="00CC6FBE">
        <w:rPr>
          <w:rFonts w:ascii="Calibri" w:hAnsi="Calibri" w:cs="Calibri"/>
        </w:rPr>
        <w:t>ΤΠΕ</w:t>
      </w:r>
      <w:proofErr w:type="spellEnd"/>
      <w:r w:rsidRPr="00CC6FBE">
        <w:rPr>
          <w:rFonts w:ascii="Calibri" w:hAnsi="Calibri" w:cs="Calibri"/>
        </w:rPr>
        <w:t>).</w:t>
      </w:r>
    </w:p>
    <w:p w14:paraId="6155D970" w14:textId="77777777" w:rsidR="00CC6FBE" w:rsidRPr="00CC6FBE" w:rsidRDefault="00CC6FBE" w:rsidP="00CC6FBE">
      <w:pPr>
        <w:numPr>
          <w:ilvl w:val="0"/>
          <w:numId w:val="3"/>
        </w:numPr>
        <w:rPr>
          <w:rFonts w:ascii="Calibri" w:hAnsi="Calibri" w:cs="Calibri"/>
        </w:rPr>
      </w:pPr>
      <w:r w:rsidRPr="00CC6FBE">
        <w:rPr>
          <w:rFonts w:ascii="Calibri" w:hAnsi="Calibri" w:cs="Calibri"/>
        </w:rPr>
        <w:t>Στην καλλιέργεια παιδαγωγικών και διοικητικών δεξιοτήτων.</w:t>
      </w:r>
    </w:p>
    <w:p w14:paraId="35837C9F" w14:textId="77777777" w:rsidR="00CC6FBE" w:rsidRPr="00CC6FBE" w:rsidRDefault="00CC6FBE" w:rsidP="00CC6FBE">
      <w:pPr>
        <w:numPr>
          <w:ilvl w:val="0"/>
          <w:numId w:val="3"/>
        </w:numPr>
        <w:rPr>
          <w:rFonts w:ascii="Calibri" w:hAnsi="Calibri" w:cs="Calibri"/>
        </w:rPr>
      </w:pPr>
      <w:r w:rsidRPr="00CC6FBE">
        <w:rPr>
          <w:rFonts w:ascii="Calibri" w:hAnsi="Calibri" w:cs="Calibri"/>
        </w:rPr>
        <w:t xml:space="preserve">Στην ανάπτυξη δεξιοτήτων </w:t>
      </w:r>
      <w:proofErr w:type="spellStart"/>
      <w:r w:rsidRPr="00CC6FBE">
        <w:rPr>
          <w:rFonts w:ascii="Calibri" w:hAnsi="Calibri" w:cs="Calibri"/>
        </w:rPr>
        <w:t>αναστοχασμού</w:t>
      </w:r>
      <w:proofErr w:type="spellEnd"/>
      <w:r w:rsidRPr="00CC6FBE">
        <w:rPr>
          <w:rFonts w:ascii="Calibri" w:hAnsi="Calibri" w:cs="Calibri"/>
        </w:rPr>
        <w:t> και διαχείρισης τάξης.</w:t>
      </w:r>
    </w:p>
    <w:p w14:paraId="1050BEED" w14:textId="77777777" w:rsidR="00CC6FBE" w:rsidRPr="00CC6FBE" w:rsidRDefault="00CC6FBE" w:rsidP="00CC6FBE">
      <w:pPr>
        <w:rPr>
          <w:rFonts w:ascii="Calibri" w:hAnsi="Calibri" w:cs="Calibri"/>
        </w:rPr>
      </w:pPr>
      <w:r w:rsidRPr="00CC6FBE">
        <w:rPr>
          <w:rFonts w:ascii="Calibri" w:hAnsi="Calibri" w:cs="Calibri"/>
        </w:rPr>
        <w:t>Πέρα από τη γνωστική διάσταση, η επιμόρφωση ενδυναμώνει τον εκπαιδευτικό ψυχολογικά και συναισθηματικά, ενισχύοντας την αυτοπεποίθηση και τη θέλησή του να καινοτομεί. Μέσω συνεργατικών μορφών, δημιουργούνται δίκτυα υποστήριξης και κοινότητες μάθησης, που ενισχύουν την επαγγελματική ανθεκτικότητα και την αίσθηση συλλογικότητας.</w:t>
      </w:r>
      <w:r w:rsidRPr="00CC6FBE">
        <w:rPr>
          <w:rFonts w:ascii="Calibri" w:hAnsi="Calibri" w:cs="Calibri"/>
        </w:rPr>
        <w:br/>
        <w:t>Επιπλέον, η επιμόρφωση ενισχύει τη </w:t>
      </w:r>
      <w:proofErr w:type="spellStart"/>
      <w:r w:rsidRPr="00CC6FBE">
        <w:rPr>
          <w:rFonts w:ascii="Calibri" w:hAnsi="Calibri" w:cs="Calibri"/>
        </w:rPr>
        <w:t>μεταγνωστική</w:t>
      </w:r>
      <w:proofErr w:type="spellEnd"/>
      <w:r w:rsidRPr="00CC6FBE">
        <w:rPr>
          <w:rFonts w:ascii="Calibri" w:hAnsi="Calibri" w:cs="Calibri"/>
        </w:rPr>
        <w:t xml:space="preserve"> ικανότητα του εκπαιδευτικού να </w:t>
      </w:r>
      <w:proofErr w:type="spellStart"/>
      <w:r w:rsidRPr="00CC6FBE">
        <w:rPr>
          <w:rFonts w:ascii="Calibri" w:hAnsi="Calibri" w:cs="Calibri"/>
        </w:rPr>
        <w:t>αυτορρυθμίζεται</w:t>
      </w:r>
      <w:proofErr w:type="spellEnd"/>
      <w:r w:rsidRPr="00CC6FBE">
        <w:rPr>
          <w:rFonts w:ascii="Calibri" w:hAnsi="Calibri" w:cs="Calibri"/>
        </w:rPr>
        <w:t xml:space="preserve"> και να βελτιώνει συνεχώς τη διδακτική του πρακτική.</w:t>
      </w:r>
    </w:p>
    <w:p w14:paraId="04B93170" w14:textId="59932682" w:rsidR="00CC6FBE" w:rsidRPr="00CC6FBE" w:rsidRDefault="00CC6FBE" w:rsidP="00CC6FBE">
      <w:pPr>
        <w:rPr>
          <w:rFonts w:ascii="Calibri" w:hAnsi="Calibri" w:cs="Calibri"/>
        </w:rPr>
      </w:pPr>
    </w:p>
    <w:p w14:paraId="4FAA5706"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2.3 Επιμόρφωση και επαγγελματική ανάπτυξη</w:t>
      </w:r>
    </w:p>
    <w:p w14:paraId="54D96A01" w14:textId="77777777" w:rsidR="00CC6FBE" w:rsidRPr="00CC6FBE" w:rsidRDefault="00CC6FBE" w:rsidP="00CC6FBE">
      <w:pPr>
        <w:rPr>
          <w:rFonts w:ascii="Calibri" w:hAnsi="Calibri" w:cs="Calibri"/>
        </w:rPr>
      </w:pPr>
      <w:r w:rsidRPr="00CC6FBE">
        <w:rPr>
          <w:rFonts w:ascii="Calibri" w:hAnsi="Calibri" w:cs="Calibri"/>
        </w:rPr>
        <w:t>Αν και οι δύο έννοιες είναι στενά συνδεδεμένες, διαφέρουν σε διάρκεια, περιεχόμενο και φιλοσοφία.</w:t>
      </w:r>
    </w:p>
    <w:p w14:paraId="33C486A0" w14:textId="77777777" w:rsidR="00CC6FBE" w:rsidRPr="00CC6FBE" w:rsidRDefault="00CC6FBE" w:rsidP="00CC6FBE">
      <w:pPr>
        <w:numPr>
          <w:ilvl w:val="0"/>
          <w:numId w:val="4"/>
        </w:numPr>
        <w:rPr>
          <w:rFonts w:ascii="Calibri" w:hAnsi="Calibri" w:cs="Calibri"/>
        </w:rPr>
      </w:pPr>
      <w:r w:rsidRPr="00CC6FBE">
        <w:rPr>
          <w:rFonts w:ascii="Calibri" w:hAnsi="Calibri" w:cs="Calibri"/>
        </w:rPr>
        <w:t xml:space="preserve">Η επιμόρφωση είναι βραχυπρόθεσμη, </w:t>
      </w:r>
      <w:proofErr w:type="spellStart"/>
      <w:r w:rsidRPr="00CC6FBE">
        <w:rPr>
          <w:rFonts w:ascii="Calibri" w:hAnsi="Calibri" w:cs="Calibri"/>
        </w:rPr>
        <w:t>στοχευμένη</w:t>
      </w:r>
      <w:proofErr w:type="spellEnd"/>
      <w:r w:rsidRPr="00CC6FBE">
        <w:rPr>
          <w:rFonts w:ascii="Calibri" w:hAnsi="Calibri" w:cs="Calibri"/>
        </w:rPr>
        <w:t xml:space="preserve"> και αφορά συγκεκριμένες δεξιότητες.</w:t>
      </w:r>
    </w:p>
    <w:p w14:paraId="156D6EEF" w14:textId="77777777" w:rsidR="00CC6FBE" w:rsidRPr="00CC6FBE" w:rsidRDefault="00CC6FBE" w:rsidP="00CC6FBE">
      <w:pPr>
        <w:numPr>
          <w:ilvl w:val="0"/>
          <w:numId w:val="4"/>
        </w:numPr>
        <w:rPr>
          <w:rFonts w:ascii="Calibri" w:hAnsi="Calibri" w:cs="Calibri"/>
        </w:rPr>
      </w:pPr>
      <w:r w:rsidRPr="00CC6FBE">
        <w:rPr>
          <w:rFonts w:ascii="Calibri" w:hAnsi="Calibri" w:cs="Calibri"/>
        </w:rPr>
        <w:t>Η επαγγελματική ανάπτυξη είναι μια μακροχρόνια διαδικασία που εμπλέκει τις γνώσεις, αξίες, συναισθήματα και στάσεις του εκπαιδευτικού, συμβάλλοντας στη διαμόρφωση της επαγγελματικής του ταυτότητας.</w:t>
      </w:r>
    </w:p>
    <w:p w14:paraId="22459341" w14:textId="77777777" w:rsidR="00CC6FBE" w:rsidRPr="00CC6FBE" w:rsidRDefault="00CC6FBE" w:rsidP="00CC6FBE">
      <w:pPr>
        <w:rPr>
          <w:rFonts w:ascii="Calibri" w:hAnsi="Calibri" w:cs="Calibri"/>
        </w:rPr>
      </w:pPr>
      <w:r w:rsidRPr="00CC6FBE">
        <w:rPr>
          <w:rFonts w:ascii="Calibri" w:hAnsi="Calibri" w:cs="Calibri"/>
        </w:rPr>
        <w:t>Η επιμόρφωση αποτελεί όχημα για την επαγγελματική ανάπτυξη, ενισχύοντας τη διά βίου μάθηση, τον </w:t>
      </w:r>
      <w:proofErr w:type="spellStart"/>
      <w:r w:rsidRPr="00CC6FBE">
        <w:rPr>
          <w:rFonts w:ascii="Calibri" w:hAnsi="Calibri" w:cs="Calibri"/>
        </w:rPr>
        <w:t>αναστοχασμό</w:t>
      </w:r>
      <w:proofErr w:type="spellEnd"/>
      <w:r w:rsidRPr="00CC6FBE">
        <w:rPr>
          <w:rFonts w:ascii="Calibri" w:hAnsi="Calibri" w:cs="Calibri"/>
        </w:rPr>
        <w:t> και την αυτονομία. Η επιτυχία των διαδικασιών αυτών προϋποθέτει θεσμική και ηθική υποστήριξη από τη σχολική ηγεσία, τους συναδέλφους και το εκπαιδευτικό σύστημα συνολικά.</w:t>
      </w:r>
    </w:p>
    <w:p w14:paraId="622EE294" w14:textId="2BD53AA5" w:rsidR="00CC6FBE" w:rsidRPr="00CC6FBE" w:rsidRDefault="00CC6FBE" w:rsidP="00CC6FBE">
      <w:pPr>
        <w:rPr>
          <w:rFonts w:ascii="Calibri" w:hAnsi="Calibri" w:cs="Calibri"/>
        </w:rPr>
      </w:pPr>
    </w:p>
    <w:p w14:paraId="3BB729EC"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2.4 Ιστορική αναδρομή της επιμόρφωσης</w:t>
      </w:r>
    </w:p>
    <w:p w14:paraId="7CD01A9F" w14:textId="77777777" w:rsidR="00CC6FBE" w:rsidRPr="00CC6FBE" w:rsidRDefault="00CC6FBE" w:rsidP="00CC6FBE">
      <w:pPr>
        <w:rPr>
          <w:rFonts w:ascii="Calibri" w:hAnsi="Calibri" w:cs="Calibri"/>
        </w:rPr>
      </w:pPr>
      <w:r w:rsidRPr="00CC6FBE">
        <w:rPr>
          <w:rFonts w:ascii="Calibri" w:hAnsi="Calibri" w:cs="Calibri"/>
        </w:rPr>
        <w:t>Η εξέλιξη της επιμόρφωσης ακολουθεί τις κοινωνικές και παιδαγωγικές μεταβολές:</w:t>
      </w:r>
    </w:p>
    <w:p w14:paraId="569A4870" w14:textId="77777777" w:rsidR="00CC6FBE" w:rsidRPr="00CC6FBE" w:rsidRDefault="00CC6FBE" w:rsidP="00CC6FBE">
      <w:pPr>
        <w:numPr>
          <w:ilvl w:val="0"/>
          <w:numId w:val="5"/>
        </w:numPr>
        <w:rPr>
          <w:rFonts w:ascii="Calibri" w:hAnsi="Calibri" w:cs="Calibri"/>
        </w:rPr>
      </w:pPr>
      <w:r w:rsidRPr="00CC6FBE">
        <w:rPr>
          <w:rFonts w:ascii="Calibri" w:hAnsi="Calibri" w:cs="Calibri"/>
        </w:rPr>
        <w:t>Μεταπολεμικά, δόθηκε έμφαση στη μαζική εκπαίδευση των δασκάλων.</w:t>
      </w:r>
    </w:p>
    <w:p w14:paraId="77D9C222" w14:textId="77777777" w:rsidR="00CC6FBE" w:rsidRPr="00CC6FBE" w:rsidRDefault="00CC6FBE" w:rsidP="00CC6FBE">
      <w:pPr>
        <w:numPr>
          <w:ilvl w:val="0"/>
          <w:numId w:val="5"/>
        </w:numPr>
        <w:rPr>
          <w:rFonts w:ascii="Calibri" w:hAnsi="Calibri" w:cs="Calibri"/>
        </w:rPr>
      </w:pPr>
      <w:r w:rsidRPr="00CC6FBE">
        <w:rPr>
          <w:rFonts w:ascii="Calibri" w:hAnsi="Calibri" w:cs="Calibri"/>
        </w:rPr>
        <w:t>Μετά το 1970, η έμφαση μετατοπίστηκε στη συστηματικότητα και την καινοτομία.</w:t>
      </w:r>
    </w:p>
    <w:p w14:paraId="77F97D32" w14:textId="77777777" w:rsidR="00CC6FBE" w:rsidRPr="00CC6FBE" w:rsidRDefault="00CC6FBE" w:rsidP="00CC6FBE">
      <w:pPr>
        <w:numPr>
          <w:ilvl w:val="0"/>
          <w:numId w:val="5"/>
        </w:numPr>
        <w:rPr>
          <w:rFonts w:ascii="Calibri" w:hAnsi="Calibri" w:cs="Calibri"/>
        </w:rPr>
      </w:pPr>
      <w:r w:rsidRPr="00CC6FBE">
        <w:rPr>
          <w:rFonts w:ascii="Calibri" w:hAnsi="Calibri" w:cs="Calibri"/>
        </w:rPr>
        <w:t>Από τη δεκαετία του 1980 και έπειτα, εμφανίζονται </w:t>
      </w:r>
      <w:proofErr w:type="spellStart"/>
      <w:r w:rsidRPr="00CC6FBE">
        <w:rPr>
          <w:rFonts w:ascii="Calibri" w:hAnsi="Calibri" w:cs="Calibri"/>
        </w:rPr>
        <w:t>αναστοχαστικές</w:t>
      </w:r>
      <w:proofErr w:type="spellEnd"/>
      <w:r w:rsidRPr="00CC6FBE">
        <w:rPr>
          <w:rFonts w:ascii="Calibri" w:hAnsi="Calibri" w:cs="Calibri"/>
        </w:rPr>
        <w:t xml:space="preserve"> και συμμετοχικές προσεγγίσεις, με τη δημιουργία επαγγελματικών κοινοτήτων μάθησης.</w:t>
      </w:r>
    </w:p>
    <w:p w14:paraId="3944E81E" w14:textId="77777777" w:rsidR="00CC6FBE" w:rsidRPr="00CC6FBE" w:rsidRDefault="00CC6FBE" w:rsidP="00CC6FBE">
      <w:pPr>
        <w:numPr>
          <w:ilvl w:val="0"/>
          <w:numId w:val="5"/>
        </w:numPr>
        <w:rPr>
          <w:rFonts w:ascii="Calibri" w:hAnsi="Calibri" w:cs="Calibri"/>
        </w:rPr>
      </w:pPr>
      <w:r w:rsidRPr="00CC6FBE">
        <w:rPr>
          <w:rFonts w:ascii="Calibri" w:hAnsi="Calibri" w:cs="Calibri"/>
        </w:rPr>
        <w:t>Οι δεκαετίες 2000–2020 χαρακτηρίζονται από την ενσωμάτωση της τεχνολογίας, την εξ αποστάσεως επιμόρφωση και τη διά βίου μάθηση.</w:t>
      </w:r>
    </w:p>
    <w:p w14:paraId="2389919B" w14:textId="77777777" w:rsidR="00CC6FBE" w:rsidRPr="00CC6FBE" w:rsidRDefault="00CC6FBE" w:rsidP="00CC6FBE">
      <w:pPr>
        <w:rPr>
          <w:rFonts w:ascii="Calibri" w:hAnsi="Calibri" w:cs="Calibri"/>
        </w:rPr>
      </w:pPr>
      <w:r w:rsidRPr="00CC6FBE">
        <w:rPr>
          <w:rFonts w:ascii="Calibri" w:hAnsi="Calibri" w:cs="Calibri"/>
        </w:rPr>
        <w:t>Στην Ελλάδα, θεσμοθετήθηκαν δομές όπως τα </w:t>
      </w:r>
      <w:proofErr w:type="spellStart"/>
      <w:r w:rsidRPr="00CC6FBE">
        <w:rPr>
          <w:rFonts w:ascii="Calibri" w:hAnsi="Calibri" w:cs="Calibri"/>
        </w:rPr>
        <w:t>ΠΕΚ</w:t>
      </w:r>
      <w:proofErr w:type="spellEnd"/>
      <w:r w:rsidRPr="00CC6FBE">
        <w:rPr>
          <w:rFonts w:ascii="Calibri" w:hAnsi="Calibri" w:cs="Calibri"/>
        </w:rPr>
        <w:t>, τα </w:t>
      </w:r>
      <w:proofErr w:type="spellStart"/>
      <w:r w:rsidRPr="00CC6FBE">
        <w:rPr>
          <w:rFonts w:ascii="Calibri" w:hAnsi="Calibri" w:cs="Calibri"/>
        </w:rPr>
        <w:t>ΚΕΕ</w:t>
      </w:r>
      <w:proofErr w:type="spellEnd"/>
      <w:r w:rsidRPr="00CC6FBE">
        <w:rPr>
          <w:rFonts w:ascii="Calibri" w:hAnsi="Calibri" w:cs="Calibri"/>
        </w:rPr>
        <w:t>, και αργότερα τα </w:t>
      </w:r>
      <w:proofErr w:type="spellStart"/>
      <w:r w:rsidRPr="00CC6FBE">
        <w:rPr>
          <w:rFonts w:ascii="Calibri" w:hAnsi="Calibri" w:cs="Calibri"/>
        </w:rPr>
        <w:t>ΚΕΔΙΒΙΜ</w:t>
      </w:r>
      <w:proofErr w:type="spellEnd"/>
      <w:r w:rsidRPr="00CC6FBE">
        <w:rPr>
          <w:rFonts w:ascii="Calibri" w:hAnsi="Calibri" w:cs="Calibri"/>
        </w:rPr>
        <w:t xml:space="preserve">, που προσέφεραν επιμορφωτικά προγράμματα σε όλες τις βαθμίδες. Η ευρωπαϊκή πολιτική για τη διά βίου μάθηση και η τεχνολογική πρόοδος ενίσχυσαν την ανάπτυξη ευέλικτων, </w:t>
      </w:r>
      <w:proofErr w:type="spellStart"/>
      <w:r w:rsidRPr="00CC6FBE">
        <w:rPr>
          <w:rFonts w:ascii="Calibri" w:hAnsi="Calibri" w:cs="Calibri"/>
        </w:rPr>
        <w:t>προσβάσιμων</w:t>
      </w:r>
      <w:proofErr w:type="spellEnd"/>
      <w:r w:rsidRPr="00CC6FBE">
        <w:rPr>
          <w:rFonts w:ascii="Calibri" w:hAnsi="Calibri" w:cs="Calibri"/>
        </w:rPr>
        <w:t xml:space="preserve"> και συνεργατικών επιμορφωτικών δράσεων.</w:t>
      </w:r>
    </w:p>
    <w:p w14:paraId="6FA39E74" w14:textId="6EBEF3C6" w:rsidR="00CC6FBE" w:rsidRPr="00CC6FBE" w:rsidRDefault="00CC6FBE" w:rsidP="00CC6FBE">
      <w:pPr>
        <w:rPr>
          <w:rFonts w:ascii="Calibri" w:hAnsi="Calibri" w:cs="Calibri"/>
        </w:rPr>
      </w:pPr>
    </w:p>
    <w:p w14:paraId="7302BC5A"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2.5 Θεωρητικά μοντέλα επαγγελματικής ανάπτυξης</w:t>
      </w:r>
    </w:p>
    <w:p w14:paraId="4B00BE68" w14:textId="77777777" w:rsidR="00CC6FBE" w:rsidRPr="00CC6FBE" w:rsidRDefault="00CC6FBE" w:rsidP="00CC6FBE">
      <w:pPr>
        <w:rPr>
          <w:rFonts w:ascii="Calibri" w:hAnsi="Calibri" w:cs="Calibri"/>
        </w:rPr>
      </w:pPr>
      <w:r w:rsidRPr="00CC6FBE">
        <w:rPr>
          <w:rFonts w:ascii="Calibri" w:hAnsi="Calibri" w:cs="Calibri"/>
        </w:rPr>
        <w:t>Πολλοί ερευνητές έχουν αναπτύξει θεωρητικά μοντέλα που ερμηνεύουν τον τρόπο με τον οποίο επιτυγχάνεται η επαγγελματική ανάπτυξη:</w:t>
      </w:r>
    </w:p>
    <w:p w14:paraId="76958367" w14:textId="77777777" w:rsidR="00CC6FBE" w:rsidRPr="00CC6FBE" w:rsidRDefault="00CC6FBE" w:rsidP="00CC6FBE">
      <w:pPr>
        <w:numPr>
          <w:ilvl w:val="0"/>
          <w:numId w:val="6"/>
        </w:numPr>
        <w:rPr>
          <w:rFonts w:ascii="Calibri" w:hAnsi="Calibri" w:cs="Calibri"/>
        </w:rPr>
      </w:pPr>
      <w:proofErr w:type="spellStart"/>
      <w:r w:rsidRPr="00CC6FBE">
        <w:rPr>
          <w:rFonts w:ascii="Calibri" w:hAnsi="Calibri" w:cs="Calibri"/>
        </w:rPr>
        <w:lastRenderedPageBreak/>
        <w:t>Fullan</w:t>
      </w:r>
      <w:proofErr w:type="spellEnd"/>
      <w:r w:rsidRPr="00CC6FBE">
        <w:rPr>
          <w:rFonts w:ascii="Calibri" w:hAnsi="Calibri" w:cs="Calibri"/>
        </w:rPr>
        <w:t xml:space="preserve"> (2015): Η ανάπτυξη είναι μια διαδικασία αλλαγής βασισμένη στη βιωματική μάθηση, τη συνεργασία και τη συναισθηματική εμπλοκή.</w:t>
      </w:r>
    </w:p>
    <w:p w14:paraId="60DF0EA3" w14:textId="77777777" w:rsidR="00CC6FBE" w:rsidRPr="00CC6FBE" w:rsidRDefault="00CC6FBE" w:rsidP="00CC6FBE">
      <w:pPr>
        <w:numPr>
          <w:ilvl w:val="0"/>
          <w:numId w:val="6"/>
        </w:numPr>
        <w:rPr>
          <w:rFonts w:ascii="Calibri" w:hAnsi="Calibri" w:cs="Calibri"/>
        </w:rPr>
      </w:pPr>
      <w:proofErr w:type="spellStart"/>
      <w:r w:rsidRPr="00CC6FBE">
        <w:rPr>
          <w:rFonts w:ascii="Calibri" w:hAnsi="Calibri" w:cs="Calibri"/>
        </w:rPr>
        <w:t>Day</w:t>
      </w:r>
      <w:proofErr w:type="spellEnd"/>
      <w:r w:rsidRPr="00CC6FBE">
        <w:rPr>
          <w:rFonts w:ascii="Calibri" w:hAnsi="Calibri" w:cs="Calibri"/>
        </w:rPr>
        <w:t xml:space="preserve"> (2017): Δίνει έμφαση στην αλληλεπίδραση προσωπικών, επαγγελματικών και </w:t>
      </w:r>
      <w:proofErr w:type="spellStart"/>
      <w:r w:rsidRPr="00CC6FBE">
        <w:rPr>
          <w:rFonts w:ascii="Calibri" w:hAnsi="Calibri" w:cs="Calibri"/>
        </w:rPr>
        <w:t>οργανωσιακών</w:t>
      </w:r>
      <w:proofErr w:type="spellEnd"/>
      <w:r w:rsidRPr="00CC6FBE">
        <w:rPr>
          <w:rFonts w:ascii="Calibri" w:hAnsi="Calibri" w:cs="Calibri"/>
        </w:rPr>
        <w:t xml:space="preserve"> διαστάσεων, με επίκεντρο τον </w:t>
      </w:r>
      <w:proofErr w:type="spellStart"/>
      <w:r w:rsidRPr="00CC6FBE">
        <w:rPr>
          <w:rFonts w:ascii="Calibri" w:hAnsi="Calibri" w:cs="Calibri"/>
        </w:rPr>
        <w:t>αναστοχασμό</w:t>
      </w:r>
      <w:proofErr w:type="spellEnd"/>
      <w:r w:rsidRPr="00CC6FBE">
        <w:rPr>
          <w:rFonts w:ascii="Calibri" w:hAnsi="Calibri" w:cs="Calibri"/>
        </w:rPr>
        <w:t>.</w:t>
      </w:r>
    </w:p>
    <w:p w14:paraId="68416598" w14:textId="77777777" w:rsidR="00CC6FBE" w:rsidRPr="00CC6FBE" w:rsidRDefault="00CC6FBE" w:rsidP="00CC6FBE">
      <w:pPr>
        <w:numPr>
          <w:ilvl w:val="0"/>
          <w:numId w:val="6"/>
        </w:numPr>
        <w:rPr>
          <w:rFonts w:ascii="Calibri" w:hAnsi="Calibri" w:cs="Calibri"/>
        </w:rPr>
      </w:pPr>
      <w:proofErr w:type="spellStart"/>
      <w:r w:rsidRPr="00CC6FBE">
        <w:rPr>
          <w:rFonts w:ascii="Calibri" w:hAnsi="Calibri" w:cs="Calibri"/>
        </w:rPr>
        <w:t>Guskey</w:t>
      </w:r>
      <w:proofErr w:type="spellEnd"/>
      <w:r w:rsidRPr="00CC6FBE">
        <w:rPr>
          <w:rFonts w:ascii="Calibri" w:hAnsi="Calibri" w:cs="Calibri"/>
        </w:rPr>
        <w:t xml:space="preserve"> (2002): Η επιμόρφωση έχει αξία μόνο όταν οδηγεί σε μετρήσιμες αλλαγές στη διδασκαλία και στη μάθηση των μαθητών.</w:t>
      </w:r>
    </w:p>
    <w:p w14:paraId="2FE36504" w14:textId="77777777" w:rsidR="00CC6FBE" w:rsidRPr="00CC6FBE" w:rsidRDefault="00CC6FBE" w:rsidP="00CC6FBE">
      <w:pPr>
        <w:numPr>
          <w:ilvl w:val="0"/>
          <w:numId w:val="6"/>
        </w:numPr>
        <w:rPr>
          <w:rFonts w:ascii="Calibri" w:hAnsi="Calibri" w:cs="Calibri"/>
        </w:rPr>
      </w:pPr>
      <w:proofErr w:type="spellStart"/>
      <w:r w:rsidRPr="00CC6FBE">
        <w:rPr>
          <w:rFonts w:ascii="Calibri" w:hAnsi="Calibri" w:cs="Calibri"/>
        </w:rPr>
        <w:t>Darling-Hammond</w:t>
      </w:r>
      <w:proofErr w:type="spellEnd"/>
      <w:r w:rsidRPr="00CC6FBE">
        <w:rPr>
          <w:rFonts w:ascii="Calibri" w:hAnsi="Calibri" w:cs="Calibri"/>
        </w:rPr>
        <w:t xml:space="preserve"> </w:t>
      </w:r>
      <w:proofErr w:type="spellStart"/>
      <w:r w:rsidRPr="00CC6FBE">
        <w:rPr>
          <w:rFonts w:ascii="Calibri" w:hAnsi="Calibri" w:cs="Calibri"/>
        </w:rPr>
        <w:t>et</w:t>
      </w:r>
      <w:proofErr w:type="spellEnd"/>
      <w:r w:rsidRPr="00CC6FBE">
        <w:rPr>
          <w:rFonts w:ascii="Calibri" w:hAnsi="Calibri" w:cs="Calibri"/>
        </w:rPr>
        <w:t xml:space="preserve"> </w:t>
      </w:r>
      <w:proofErr w:type="spellStart"/>
      <w:r w:rsidRPr="00CC6FBE">
        <w:rPr>
          <w:rFonts w:ascii="Calibri" w:hAnsi="Calibri" w:cs="Calibri"/>
        </w:rPr>
        <w:t>al</w:t>
      </w:r>
      <w:proofErr w:type="spellEnd"/>
      <w:r w:rsidRPr="00CC6FBE">
        <w:rPr>
          <w:rFonts w:ascii="Calibri" w:hAnsi="Calibri" w:cs="Calibri"/>
        </w:rPr>
        <w:t>. (2017): Προτείνει μοντέλα βασισμένα στη συνέχεια, συνεργασία, βιωματική μάθηση και σαφείς στόχους, με επαρκή χρόνο και ποιοτική ανατροφοδότηση.</w:t>
      </w:r>
    </w:p>
    <w:p w14:paraId="41A71A67" w14:textId="77777777" w:rsidR="00CC6FBE" w:rsidRPr="00CC6FBE" w:rsidRDefault="00CC6FBE" w:rsidP="00CC6FBE">
      <w:pPr>
        <w:rPr>
          <w:rFonts w:ascii="Calibri" w:hAnsi="Calibri" w:cs="Calibri"/>
        </w:rPr>
      </w:pPr>
      <w:r w:rsidRPr="00CC6FBE">
        <w:rPr>
          <w:rFonts w:ascii="Calibri" w:hAnsi="Calibri" w:cs="Calibri"/>
        </w:rPr>
        <w:t>Όλα τα μοντέλα συγκλίνουν στη σημασία του </w:t>
      </w:r>
      <w:proofErr w:type="spellStart"/>
      <w:r w:rsidRPr="00CC6FBE">
        <w:rPr>
          <w:rFonts w:ascii="Calibri" w:hAnsi="Calibri" w:cs="Calibri"/>
        </w:rPr>
        <w:t>αναστοχασμού</w:t>
      </w:r>
      <w:proofErr w:type="spellEnd"/>
      <w:r w:rsidRPr="00CC6FBE">
        <w:rPr>
          <w:rFonts w:ascii="Calibri" w:hAnsi="Calibri" w:cs="Calibri"/>
        </w:rPr>
        <w:t>, της ενεργούς συμμετοχής, της σύνδεσης θεωρίας και πράξης και της υποστήριξης από τη σχολική ηγεσία.</w:t>
      </w:r>
    </w:p>
    <w:p w14:paraId="42ACB3FD" w14:textId="64128DCB" w:rsidR="00CC6FBE" w:rsidRPr="00CC6FBE" w:rsidRDefault="00CC6FBE" w:rsidP="00CC6FBE">
      <w:pPr>
        <w:rPr>
          <w:rFonts w:ascii="Calibri" w:hAnsi="Calibri" w:cs="Calibri"/>
        </w:rPr>
      </w:pPr>
    </w:p>
    <w:p w14:paraId="7681D131" w14:textId="77777777" w:rsidR="00CC6FBE" w:rsidRPr="00CC6FBE" w:rsidRDefault="00CC6FBE" w:rsidP="00CC6FBE">
      <w:pPr>
        <w:rPr>
          <w:rFonts w:ascii="Calibri" w:hAnsi="Calibri" w:cs="Calibri"/>
          <w:b/>
          <w:bCs/>
          <w:sz w:val="28"/>
          <w:szCs w:val="28"/>
        </w:rPr>
      </w:pPr>
      <w:r w:rsidRPr="00CC6FBE">
        <w:rPr>
          <w:rFonts w:ascii="Calibri" w:hAnsi="Calibri" w:cs="Calibri"/>
          <w:b/>
          <w:bCs/>
          <w:sz w:val="28"/>
          <w:szCs w:val="28"/>
        </w:rPr>
        <w:t xml:space="preserve">2.6 Η διά βίου μάθηση και η </w:t>
      </w:r>
      <w:proofErr w:type="spellStart"/>
      <w:r w:rsidRPr="00CC6FBE">
        <w:rPr>
          <w:rFonts w:ascii="Calibri" w:hAnsi="Calibri" w:cs="Calibri"/>
          <w:b/>
          <w:bCs/>
          <w:sz w:val="28"/>
          <w:szCs w:val="28"/>
        </w:rPr>
        <w:t>αναστοχαστική</w:t>
      </w:r>
      <w:proofErr w:type="spellEnd"/>
      <w:r w:rsidRPr="00CC6FBE">
        <w:rPr>
          <w:rFonts w:ascii="Calibri" w:hAnsi="Calibri" w:cs="Calibri"/>
          <w:b/>
          <w:bCs/>
          <w:sz w:val="28"/>
          <w:szCs w:val="28"/>
        </w:rPr>
        <w:t xml:space="preserve"> πρακτική</w:t>
      </w:r>
    </w:p>
    <w:p w14:paraId="6D432E4C" w14:textId="77777777" w:rsidR="00CC6FBE" w:rsidRPr="00CC6FBE" w:rsidRDefault="00CC6FBE" w:rsidP="00CC6FBE">
      <w:pPr>
        <w:rPr>
          <w:rFonts w:ascii="Calibri" w:hAnsi="Calibri" w:cs="Calibri"/>
        </w:rPr>
      </w:pPr>
      <w:r w:rsidRPr="00CC6FBE">
        <w:rPr>
          <w:rFonts w:ascii="Calibri" w:hAnsi="Calibri" w:cs="Calibri"/>
        </w:rPr>
        <w:t>Η διά βίου μάθηση εκφράζει τη συνεχή ενημέρωση και εξέλιξη του εκπαιδευτικού μέσα από εμπειρίες, νέες γνώσεις και προσαρμογή στις εξελίξεις της εποχής. Ο </w:t>
      </w:r>
      <w:proofErr w:type="spellStart"/>
      <w:r w:rsidRPr="00CC6FBE">
        <w:rPr>
          <w:rFonts w:ascii="Calibri" w:hAnsi="Calibri" w:cs="Calibri"/>
        </w:rPr>
        <w:t>αναστοχασμός</w:t>
      </w:r>
      <w:proofErr w:type="spellEnd"/>
      <w:r w:rsidRPr="00CC6FBE">
        <w:rPr>
          <w:rFonts w:ascii="Calibri" w:hAnsi="Calibri" w:cs="Calibri"/>
        </w:rPr>
        <w:t> αποτελεί αναπόσπαστο κομμάτι αυτής της διαδικασίας, καθώς βοηθά τον εκπαιδευτικό να αξιολογεί, αναθεωρεί και βελτιώνει τις πρακτικές του.</w:t>
      </w:r>
    </w:p>
    <w:p w14:paraId="45541039" w14:textId="77777777" w:rsidR="00CC6FBE" w:rsidRPr="00CC6FBE" w:rsidRDefault="00CC6FBE" w:rsidP="00CC6FBE">
      <w:pPr>
        <w:rPr>
          <w:rFonts w:ascii="Calibri" w:hAnsi="Calibri" w:cs="Calibri"/>
        </w:rPr>
      </w:pPr>
      <w:r w:rsidRPr="00CC6FBE">
        <w:rPr>
          <w:rFonts w:ascii="Calibri" w:hAnsi="Calibri" w:cs="Calibri"/>
        </w:rPr>
        <w:t>Η </w:t>
      </w:r>
      <w:proofErr w:type="spellStart"/>
      <w:r w:rsidRPr="00CC6FBE">
        <w:rPr>
          <w:rFonts w:ascii="Calibri" w:hAnsi="Calibri" w:cs="Calibri"/>
        </w:rPr>
        <w:t>αναστοχαστική</w:t>
      </w:r>
      <w:proofErr w:type="spellEnd"/>
      <w:r w:rsidRPr="00CC6FBE">
        <w:rPr>
          <w:rFonts w:ascii="Calibri" w:hAnsi="Calibri" w:cs="Calibri"/>
        </w:rPr>
        <w:t xml:space="preserve"> πρακτική συνδέεται άμεσα με την αυτορρύθμιση:</w:t>
      </w:r>
    </w:p>
    <w:p w14:paraId="44FF22DD" w14:textId="77777777" w:rsidR="00CC6FBE" w:rsidRPr="00CC6FBE" w:rsidRDefault="00CC6FBE" w:rsidP="00CC6FBE">
      <w:pPr>
        <w:numPr>
          <w:ilvl w:val="0"/>
          <w:numId w:val="7"/>
        </w:numPr>
        <w:rPr>
          <w:rFonts w:ascii="Calibri" w:hAnsi="Calibri" w:cs="Calibri"/>
        </w:rPr>
      </w:pPr>
      <w:r w:rsidRPr="00CC6FBE">
        <w:rPr>
          <w:rFonts w:ascii="Calibri" w:hAnsi="Calibri" w:cs="Calibri"/>
        </w:rPr>
        <w:t>Ο εκπαιδευτικός θέτει στόχους,</w:t>
      </w:r>
    </w:p>
    <w:p w14:paraId="0AE94F0E" w14:textId="77777777" w:rsidR="00CC6FBE" w:rsidRPr="00CC6FBE" w:rsidRDefault="00CC6FBE" w:rsidP="00CC6FBE">
      <w:pPr>
        <w:numPr>
          <w:ilvl w:val="0"/>
          <w:numId w:val="7"/>
        </w:numPr>
        <w:rPr>
          <w:rFonts w:ascii="Calibri" w:hAnsi="Calibri" w:cs="Calibri"/>
        </w:rPr>
      </w:pPr>
      <w:r w:rsidRPr="00CC6FBE">
        <w:rPr>
          <w:rFonts w:ascii="Calibri" w:hAnsi="Calibri" w:cs="Calibri"/>
        </w:rPr>
        <w:t>Παρακολουθεί την πρόοδό του,</w:t>
      </w:r>
    </w:p>
    <w:p w14:paraId="338A8C9A" w14:textId="77777777" w:rsidR="00CC6FBE" w:rsidRPr="00CC6FBE" w:rsidRDefault="00CC6FBE" w:rsidP="00CC6FBE">
      <w:pPr>
        <w:numPr>
          <w:ilvl w:val="0"/>
          <w:numId w:val="7"/>
        </w:numPr>
        <w:rPr>
          <w:rFonts w:ascii="Calibri" w:hAnsi="Calibri" w:cs="Calibri"/>
        </w:rPr>
      </w:pPr>
      <w:r w:rsidRPr="00CC6FBE">
        <w:rPr>
          <w:rFonts w:ascii="Calibri" w:hAnsi="Calibri" w:cs="Calibri"/>
        </w:rPr>
        <w:t>Δέχεται ανατροφοδότηση,</w:t>
      </w:r>
    </w:p>
    <w:p w14:paraId="6540B27B" w14:textId="77777777" w:rsidR="00CC6FBE" w:rsidRPr="00CC6FBE" w:rsidRDefault="00CC6FBE" w:rsidP="00CC6FBE">
      <w:pPr>
        <w:numPr>
          <w:ilvl w:val="0"/>
          <w:numId w:val="7"/>
        </w:numPr>
        <w:rPr>
          <w:rFonts w:ascii="Calibri" w:hAnsi="Calibri" w:cs="Calibri"/>
        </w:rPr>
      </w:pPr>
      <w:r w:rsidRPr="00CC6FBE">
        <w:rPr>
          <w:rFonts w:ascii="Calibri" w:hAnsi="Calibri" w:cs="Calibri"/>
        </w:rPr>
        <w:t>Προσαρμόζει τη διδασκαλία του.</w:t>
      </w:r>
    </w:p>
    <w:p w14:paraId="7E0BFDE9" w14:textId="77777777" w:rsidR="00CC6FBE" w:rsidRPr="00CC6FBE" w:rsidRDefault="00CC6FBE" w:rsidP="00CC6FBE">
      <w:pPr>
        <w:rPr>
          <w:rFonts w:ascii="Calibri" w:hAnsi="Calibri" w:cs="Calibri"/>
        </w:rPr>
      </w:pPr>
      <w:r w:rsidRPr="00CC6FBE">
        <w:rPr>
          <w:rFonts w:ascii="Calibri" w:hAnsi="Calibri" w:cs="Calibri"/>
        </w:rPr>
        <w:t>Τέλος, οι επαγγελματικές κοινότητες μάθησης ενισχύουν τη συνεργατική διάσταση, μετατρέποντας τη μάθηση σε συλλογική ευθύνη και προωθώντας τη συνεχή επαγγελματική εξέλιξη όλων των μελών.</w:t>
      </w:r>
    </w:p>
    <w:p w14:paraId="602D66CE" w14:textId="77777777" w:rsidR="00126D40" w:rsidRDefault="00126D40">
      <w:pPr>
        <w:rPr>
          <w:rFonts w:ascii="Calibri" w:hAnsi="Calibri" w:cs="Calibri"/>
        </w:rPr>
      </w:pPr>
    </w:p>
    <w:p w14:paraId="41645D9B" w14:textId="77777777" w:rsidR="008465DF" w:rsidRPr="00173B03" w:rsidRDefault="008465DF" w:rsidP="008465DF">
      <w:pPr>
        <w:spacing w:line="360" w:lineRule="auto"/>
        <w:jc w:val="both"/>
        <w:rPr>
          <w:rFonts w:asciiTheme="majorHAnsi" w:hAnsiTheme="majorHAnsi" w:cs="Times New Roman"/>
          <w:b/>
          <w:bCs/>
        </w:rPr>
      </w:pPr>
      <w:r w:rsidRPr="00173B03">
        <w:rPr>
          <w:rFonts w:asciiTheme="majorHAnsi" w:hAnsiTheme="majorHAnsi" w:cs="Times New Roman"/>
          <w:b/>
          <w:bCs/>
        </w:rPr>
        <w:t xml:space="preserve">3. Μεθοδολογία της </w:t>
      </w:r>
      <w:proofErr w:type="spellStart"/>
      <w:r w:rsidRPr="00173B03">
        <w:rPr>
          <w:rFonts w:asciiTheme="majorHAnsi" w:hAnsiTheme="majorHAnsi" w:cs="Times New Roman"/>
          <w:b/>
          <w:bCs/>
        </w:rPr>
        <w:t>μετα</w:t>
      </w:r>
      <w:proofErr w:type="spellEnd"/>
      <w:r w:rsidRPr="00173B03">
        <w:rPr>
          <w:rFonts w:asciiTheme="majorHAnsi" w:hAnsiTheme="majorHAnsi" w:cs="Times New Roman"/>
          <w:b/>
          <w:bCs/>
        </w:rPr>
        <w:t>-ανάλυσης</w:t>
      </w:r>
    </w:p>
    <w:tbl>
      <w:tblPr>
        <w:tblStyle w:val="ac"/>
        <w:tblW w:w="0" w:type="auto"/>
        <w:tblLook w:val="04A0" w:firstRow="1" w:lastRow="0" w:firstColumn="1" w:lastColumn="0" w:noHBand="0" w:noVBand="1"/>
      </w:tblPr>
      <w:tblGrid>
        <w:gridCol w:w="8296"/>
      </w:tblGrid>
      <w:tr w:rsidR="008465DF" w:rsidRPr="00915A06" w14:paraId="237F64CB" w14:textId="77777777" w:rsidTr="003F28AF">
        <w:tc>
          <w:tcPr>
            <w:tcW w:w="8296" w:type="dxa"/>
          </w:tcPr>
          <w:p w14:paraId="4267CF10" w14:textId="77777777" w:rsidR="008465DF" w:rsidRPr="00915A06" w:rsidRDefault="008465DF" w:rsidP="003F28AF">
            <w:pPr>
              <w:rPr>
                <w:b/>
                <w:bCs/>
              </w:rPr>
            </w:pPr>
            <w:r w:rsidRPr="00915A06">
              <w:rPr>
                <w:b/>
                <w:bCs/>
              </w:rPr>
              <w:t xml:space="preserve">3.1 Τύπος έρευνας και σκοπιμότητα        </w:t>
            </w:r>
          </w:p>
        </w:tc>
      </w:tr>
      <w:tr w:rsidR="008465DF" w:rsidRPr="00915A06" w14:paraId="69415738" w14:textId="77777777" w:rsidTr="003F28AF">
        <w:tc>
          <w:tcPr>
            <w:tcW w:w="8296" w:type="dxa"/>
          </w:tcPr>
          <w:p w14:paraId="694A7A43" w14:textId="77777777" w:rsidR="008465DF" w:rsidRPr="00915A06" w:rsidRDefault="008465DF" w:rsidP="003F28AF">
            <w:r w:rsidRPr="00915A06">
              <w:t xml:space="preserve">• Χρήση συστηματικής βιβλιογραφικής </w:t>
            </w:r>
            <w:proofErr w:type="spellStart"/>
            <w:r w:rsidRPr="00915A06">
              <w:t>μετα</w:t>
            </w:r>
            <w:proofErr w:type="spellEnd"/>
            <w:r w:rsidRPr="00915A06">
              <w:t xml:space="preserve">-ανάλυσης. </w:t>
            </w:r>
          </w:p>
        </w:tc>
      </w:tr>
      <w:tr w:rsidR="008465DF" w:rsidRPr="00915A06" w14:paraId="68A676C5" w14:textId="77777777" w:rsidTr="003F28AF">
        <w:tc>
          <w:tcPr>
            <w:tcW w:w="8296" w:type="dxa"/>
          </w:tcPr>
          <w:p w14:paraId="0ABBFB5B" w14:textId="77777777" w:rsidR="008465DF" w:rsidRPr="00915A06" w:rsidRDefault="008465DF" w:rsidP="003F28AF">
            <w:r w:rsidRPr="00915A06">
              <w:t xml:space="preserve">• Στόχος: διερεύνηση του πώς η επιμόρφωση επηρεάζει ενδυνάμωση, αυτορρύθμιση, </w:t>
            </w:r>
            <w:proofErr w:type="spellStart"/>
            <w:r w:rsidRPr="00915A06">
              <w:t>αυτοαποτελεσματικότητα</w:t>
            </w:r>
            <w:proofErr w:type="spellEnd"/>
            <w:r w:rsidRPr="00915A06">
              <w:t xml:space="preserve"> εκπαιδευτικών. </w:t>
            </w:r>
          </w:p>
        </w:tc>
      </w:tr>
      <w:tr w:rsidR="008465DF" w:rsidRPr="00915A06" w14:paraId="63310DFA" w14:textId="77777777" w:rsidTr="003F28AF">
        <w:tc>
          <w:tcPr>
            <w:tcW w:w="8296" w:type="dxa"/>
          </w:tcPr>
          <w:p w14:paraId="552763EB" w14:textId="77777777" w:rsidR="008465DF" w:rsidRPr="00915A06" w:rsidRDefault="008465DF" w:rsidP="003F28AF">
            <w:r w:rsidRPr="00915A06">
              <w:t xml:space="preserve">• Επιλέχθηκε λόγω πλήθους και ετερογένειας μελετών. </w:t>
            </w:r>
          </w:p>
        </w:tc>
      </w:tr>
      <w:tr w:rsidR="008465DF" w:rsidRPr="00915A06" w14:paraId="43DBB6DA" w14:textId="77777777" w:rsidTr="003F28AF">
        <w:tc>
          <w:tcPr>
            <w:tcW w:w="8296" w:type="dxa"/>
          </w:tcPr>
          <w:p w14:paraId="6BF22754" w14:textId="77777777" w:rsidR="008465DF" w:rsidRPr="00915A06" w:rsidRDefault="008465DF" w:rsidP="003F28AF">
            <w:r w:rsidRPr="00915A06">
              <w:t xml:space="preserve">• Εξασφαλίζει συστηματικότητα, διαφάνεια και σύνθεση ευρημάτων.                              </w:t>
            </w:r>
          </w:p>
        </w:tc>
      </w:tr>
    </w:tbl>
    <w:p w14:paraId="5F02B444" w14:textId="77777777" w:rsidR="008465DF" w:rsidRDefault="008465DF" w:rsidP="008465DF"/>
    <w:tbl>
      <w:tblPr>
        <w:tblStyle w:val="ac"/>
        <w:tblW w:w="0" w:type="auto"/>
        <w:tblLook w:val="04A0" w:firstRow="1" w:lastRow="0" w:firstColumn="1" w:lastColumn="0" w:noHBand="0" w:noVBand="1"/>
      </w:tblPr>
      <w:tblGrid>
        <w:gridCol w:w="8296"/>
      </w:tblGrid>
      <w:tr w:rsidR="008465DF" w:rsidRPr="00915A06" w14:paraId="453E56CB" w14:textId="77777777" w:rsidTr="003F28AF">
        <w:tc>
          <w:tcPr>
            <w:tcW w:w="8296" w:type="dxa"/>
          </w:tcPr>
          <w:p w14:paraId="05CA8433" w14:textId="77777777" w:rsidR="008465DF" w:rsidRPr="00915A06" w:rsidRDefault="008465DF" w:rsidP="003F28AF">
            <w:pPr>
              <w:rPr>
                <w:b/>
                <w:bCs/>
              </w:rPr>
            </w:pPr>
            <w:r w:rsidRPr="00915A06">
              <w:rPr>
                <w:b/>
                <w:bCs/>
              </w:rPr>
              <w:t xml:space="preserve">3.2 </w:t>
            </w:r>
            <w:r>
              <w:rPr>
                <w:b/>
                <w:bCs/>
              </w:rPr>
              <w:t xml:space="preserve">Ερευνητικά ερωτήματα </w:t>
            </w:r>
          </w:p>
        </w:tc>
      </w:tr>
      <w:tr w:rsidR="008465DF" w:rsidRPr="00915A06" w14:paraId="733586E9" w14:textId="77777777" w:rsidTr="003F28AF">
        <w:tc>
          <w:tcPr>
            <w:tcW w:w="8296" w:type="dxa"/>
          </w:tcPr>
          <w:p w14:paraId="0394816B" w14:textId="77777777" w:rsidR="008465DF" w:rsidRPr="002047C7" w:rsidRDefault="008465DF" w:rsidP="008465DF">
            <w:pPr>
              <w:pStyle w:val="a6"/>
              <w:numPr>
                <w:ilvl w:val="0"/>
                <w:numId w:val="8"/>
              </w:numPr>
              <w:spacing w:after="160" w:line="259" w:lineRule="auto"/>
              <w:rPr>
                <w:b/>
                <w:bCs/>
              </w:rPr>
            </w:pPr>
            <w:r w:rsidRPr="002047C7">
              <w:rPr>
                <w:color w:val="000000"/>
              </w:rPr>
              <w:t>Ποια είναι η επίδραση της επιμόρφωσης των εκπαιδευτικών στη διδακτική τους πρακτική, σύμφωνα με τη διεθνή και ελληνική βιβλιογραφία;</w:t>
            </w:r>
          </w:p>
        </w:tc>
      </w:tr>
      <w:tr w:rsidR="008465DF" w:rsidRPr="00915A06" w14:paraId="0BDDE7A7" w14:textId="77777777" w:rsidTr="003F28AF">
        <w:tc>
          <w:tcPr>
            <w:tcW w:w="8296" w:type="dxa"/>
          </w:tcPr>
          <w:p w14:paraId="67859CD1" w14:textId="77777777" w:rsidR="008465DF" w:rsidRPr="002047C7" w:rsidRDefault="008465DF" w:rsidP="008465DF">
            <w:pPr>
              <w:pStyle w:val="a6"/>
              <w:numPr>
                <w:ilvl w:val="0"/>
                <w:numId w:val="8"/>
              </w:numPr>
              <w:spacing w:after="160" w:line="259" w:lineRule="auto"/>
            </w:pPr>
            <w:r w:rsidRPr="002047C7">
              <w:t xml:space="preserve">Πώς συμβάλλει η επιμόρφωση στην επαγγελματική ανάπτυξη, την </w:t>
            </w:r>
            <w:proofErr w:type="spellStart"/>
            <w:r w:rsidRPr="002047C7">
              <w:t>αυτοαποτελεσματικότητα</w:t>
            </w:r>
            <w:proofErr w:type="spellEnd"/>
            <w:r w:rsidRPr="002047C7">
              <w:t xml:space="preserve"> και την αυτορρύθμιση των εκπαιδευτικών, όπως προκύπτει από τις ερευνητικές μελέτες;</w:t>
            </w:r>
          </w:p>
        </w:tc>
      </w:tr>
      <w:tr w:rsidR="008465DF" w:rsidRPr="00915A06" w14:paraId="10DA5A97" w14:textId="77777777" w:rsidTr="003F28AF">
        <w:tc>
          <w:tcPr>
            <w:tcW w:w="8296" w:type="dxa"/>
          </w:tcPr>
          <w:p w14:paraId="5B0CB075" w14:textId="77777777" w:rsidR="008465DF" w:rsidRPr="002047C7" w:rsidRDefault="008465DF" w:rsidP="008465DF">
            <w:pPr>
              <w:pStyle w:val="a6"/>
              <w:numPr>
                <w:ilvl w:val="0"/>
                <w:numId w:val="8"/>
              </w:numPr>
              <w:spacing w:after="160" w:line="259" w:lineRule="auto"/>
            </w:pPr>
            <w:r w:rsidRPr="002047C7">
              <w:lastRenderedPageBreak/>
              <w:t>Ποιοι παράγοντες αναδεικνύονται στη βιβλιογραφία ως καθοριστικοί για την αποτελεσματικότητα των επιμορφωτικών προγραμμάτων των εκπαιδευτικών;</w:t>
            </w:r>
          </w:p>
        </w:tc>
      </w:tr>
      <w:tr w:rsidR="008465DF" w:rsidRPr="00915A06" w14:paraId="49F3ABF1" w14:textId="77777777" w:rsidTr="003F28AF">
        <w:tc>
          <w:tcPr>
            <w:tcW w:w="8296" w:type="dxa"/>
          </w:tcPr>
          <w:p w14:paraId="23D1FD6B" w14:textId="77777777" w:rsidR="008465DF" w:rsidRPr="002047C7" w:rsidRDefault="008465DF" w:rsidP="008465DF">
            <w:pPr>
              <w:pStyle w:val="a6"/>
              <w:numPr>
                <w:ilvl w:val="0"/>
                <w:numId w:val="8"/>
              </w:numPr>
              <w:spacing w:after="160" w:line="259" w:lineRule="auto"/>
            </w:pPr>
            <w:r w:rsidRPr="002047C7">
              <w:t>Ποιες ιδιαιτερότητες, προκλήσεις και ανισότητες αναδεικνύονται στον ελλαδικό χώρο σχετικά με την επιμόρφωση και την επαγγελματική ενδυνάμωση των εκπαιδευτικών;</w:t>
            </w:r>
          </w:p>
        </w:tc>
      </w:tr>
      <w:tr w:rsidR="008465DF" w:rsidRPr="00915A06" w14:paraId="49CF7B21" w14:textId="77777777" w:rsidTr="003F28AF">
        <w:tc>
          <w:tcPr>
            <w:tcW w:w="8296" w:type="dxa"/>
          </w:tcPr>
          <w:p w14:paraId="24180DA0" w14:textId="77777777" w:rsidR="008465DF" w:rsidRPr="00915A06" w:rsidRDefault="008465DF" w:rsidP="003F28AF">
            <w:pPr>
              <w:rPr>
                <w:b/>
                <w:bCs/>
              </w:rPr>
            </w:pPr>
            <w:r w:rsidRPr="00915A06">
              <w:rPr>
                <w:b/>
                <w:bCs/>
              </w:rPr>
              <w:t xml:space="preserve">Κριτήρια επιλογής των μελετών       </w:t>
            </w:r>
          </w:p>
        </w:tc>
      </w:tr>
      <w:tr w:rsidR="008465DF" w:rsidRPr="00915A06" w14:paraId="7EAF23D3" w14:textId="77777777" w:rsidTr="003F28AF">
        <w:tc>
          <w:tcPr>
            <w:tcW w:w="8296" w:type="dxa"/>
          </w:tcPr>
          <w:p w14:paraId="37B3902F" w14:textId="77777777" w:rsidR="008465DF" w:rsidRPr="00915A06" w:rsidRDefault="008465DF" w:rsidP="003F28AF">
            <w:r w:rsidRPr="00915A06">
              <w:t xml:space="preserve">• Αφορούν επιμόρφωση, επαγγελματική ανάπτυξη, αυτορρύθμιση, </w:t>
            </w:r>
            <w:proofErr w:type="spellStart"/>
            <w:r w:rsidRPr="00915A06">
              <w:t>αναστοχασμό</w:t>
            </w:r>
            <w:proofErr w:type="spellEnd"/>
            <w:r w:rsidRPr="00915A06">
              <w:t xml:space="preserve">, </w:t>
            </w:r>
            <w:proofErr w:type="spellStart"/>
            <w:r w:rsidRPr="00915A06">
              <w:t>αυτοαποτελεσματικότητα</w:t>
            </w:r>
            <w:proofErr w:type="spellEnd"/>
            <w:r w:rsidRPr="00915A06">
              <w:t xml:space="preserve">. </w:t>
            </w:r>
          </w:p>
        </w:tc>
      </w:tr>
      <w:tr w:rsidR="008465DF" w:rsidRPr="00915A06" w14:paraId="7D558B87" w14:textId="77777777" w:rsidTr="003F28AF">
        <w:tc>
          <w:tcPr>
            <w:tcW w:w="8296" w:type="dxa"/>
          </w:tcPr>
          <w:p w14:paraId="1FFE642B" w14:textId="77777777" w:rsidR="008465DF" w:rsidRPr="00915A06" w:rsidRDefault="008465DF" w:rsidP="003F28AF">
            <w:r w:rsidRPr="00915A06">
              <w:t xml:space="preserve">• Περιλήφθηκαν ποιοτικές, ποσοτικές, μικτές, δευτερογενείς αναλύσεις και διατριβές. </w:t>
            </w:r>
          </w:p>
        </w:tc>
      </w:tr>
      <w:tr w:rsidR="008465DF" w:rsidRPr="00915A06" w14:paraId="26A8D79C" w14:textId="77777777" w:rsidTr="003F28AF">
        <w:tc>
          <w:tcPr>
            <w:tcW w:w="8296" w:type="dxa"/>
          </w:tcPr>
          <w:p w14:paraId="55D6A5F0" w14:textId="77777777" w:rsidR="008465DF" w:rsidRPr="00915A06" w:rsidRDefault="008465DF" w:rsidP="003F28AF">
            <w:r w:rsidRPr="00915A06">
              <w:t>• Χρονικό εύρος: 2010–202</w:t>
            </w:r>
            <w:r>
              <w:t>5</w:t>
            </w:r>
            <w:r w:rsidRPr="00915A06">
              <w:t xml:space="preserve"> (και ορισμένες θεμελιώδεις παλαιότερες). </w:t>
            </w:r>
          </w:p>
        </w:tc>
      </w:tr>
      <w:tr w:rsidR="008465DF" w:rsidRPr="00915A06" w14:paraId="3D042FE2" w14:textId="77777777" w:rsidTr="003F28AF">
        <w:tc>
          <w:tcPr>
            <w:tcW w:w="8296" w:type="dxa"/>
          </w:tcPr>
          <w:p w14:paraId="366432F8" w14:textId="77777777" w:rsidR="008465DF" w:rsidRPr="00915A06" w:rsidRDefault="008465DF" w:rsidP="003F28AF">
            <w:r w:rsidRPr="00915A06">
              <w:t>• Στόχος πληθυσμού: εκπαιδευτικοί Πρωτοβάθμιας &amp; Δευτεροβάθμιας.</w:t>
            </w:r>
          </w:p>
        </w:tc>
      </w:tr>
    </w:tbl>
    <w:p w14:paraId="64ADB822" w14:textId="77777777" w:rsidR="008465DF" w:rsidRDefault="008465DF" w:rsidP="008465DF"/>
    <w:tbl>
      <w:tblPr>
        <w:tblStyle w:val="ac"/>
        <w:tblW w:w="0" w:type="auto"/>
        <w:tblLook w:val="04A0" w:firstRow="1" w:lastRow="0" w:firstColumn="1" w:lastColumn="0" w:noHBand="0" w:noVBand="1"/>
      </w:tblPr>
      <w:tblGrid>
        <w:gridCol w:w="8296"/>
      </w:tblGrid>
      <w:tr w:rsidR="008465DF" w:rsidRPr="00915A06" w14:paraId="30E1FE8B" w14:textId="77777777" w:rsidTr="003F28AF">
        <w:tc>
          <w:tcPr>
            <w:tcW w:w="8296" w:type="dxa"/>
          </w:tcPr>
          <w:p w14:paraId="777DD1AE" w14:textId="77777777" w:rsidR="008465DF" w:rsidRPr="00915A06" w:rsidRDefault="008465DF" w:rsidP="003F28AF">
            <w:pPr>
              <w:rPr>
                <w:b/>
                <w:bCs/>
              </w:rPr>
            </w:pPr>
            <w:r w:rsidRPr="00915A06">
              <w:rPr>
                <w:b/>
                <w:bCs/>
              </w:rPr>
              <w:t xml:space="preserve">3.3 Διαδικασία αναζήτησης πηγών          </w:t>
            </w:r>
          </w:p>
        </w:tc>
      </w:tr>
      <w:tr w:rsidR="008465DF" w:rsidRPr="008465DF" w14:paraId="2DCACAD6" w14:textId="77777777" w:rsidTr="003F28AF">
        <w:tc>
          <w:tcPr>
            <w:tcW w:w="8296" w:type="dxa"/>
          </w:tcPr>
          <w:p w14:paraId="68EED769" w14:textId="77777777" w:rsidR="008465DF" w:rsidRPr="00915A06" w:rsidRDefault="008465DF" w:rsidP="003F28AF">
            <w:pPr>
              <w:rPr>
                <w:lang w:val="en-US"/>
              </w:rPr>
            </w:pPr>
            <w:r w:rsidRPr="00915A06">
              <w:rPr>
                <w:lang w:val="en-US"/>
              </w:rPr>
              <w:t xml:space="preserve">• </w:t>
            </w:r>
            <w:r w:rsidRPr="00915A06">
              <w:t>Βάσεις</w:t>
            </w:r>
            <w:r w:rsidRPr="00915A06">
              <w:rPr>
                <w:lang w:val="en-US"/>
              </w:rPr>
              <w:t xml:space="preserve">: Google Scholar, Scopus, ERIC, </w:t>
            </w:r>
            <w:proofErr w:type="spellStart"/>
            <w:r w:rsidRPr="00915A06">
              <w:t>ΙΕΠ</w:t>
            </w:r>
            <w:proofErr w:type="spellEnd"/>
            <w:r w:rsidRPr="00915A06">
              <w:rPr>
                <w:lang w:val="en-US"/>
              </w:rPr>
              <w:t xml:space="preserve">. </w:t>
            </w:r>
          </w:p>
        </w:tc>
      </w:tr>
      <w:tr w:rsidR="008465DF" w:rsidRPr="00915A06" w14:paraId="038C4304" w14:textId="77777777" w:rsidTr="003F28AF">
        <w:tc>
          <w:tcPr>
            <w:tcW w:w="8296" w:type="dxa"/>
          </w:tcPr>
          <w:p w14:paraId="57D4389A" w14:textId="77777777" w:rsidR="008465DF" w:rsidRPr="00915A06" w:rsidRDefault="008465DF" w:rsidP="003F28AF">
            <w:r w:rsidRPr="00915A06">
              <w:t xml:space="preserve">• Λέξεις-κλειδιά σε ελληνικά και αγγλικά. </w:t>
            </w:r>
          </w:p>
        </w:tc>
      </w:tr>
      <w:tr w:rsidR="008465DF" w:rsidRPr="00915A06" w14:paraId="3C466EBC" w14:textId="77777777" w:rsidTr="003F28AF">
        <w:tc>
          <w:tcPr>
            <w:tcW w:w="8296" w:type="dxa"/>
          </w:tcPr>
          <w:p w14:paraId="36F3A67A" w14:textId="77777777" w:rsidR="008465DF" w:rsidRPr="00915A06" w:rsidRDefault="008465DF" w:rsidP="003F28AF">
            <w:r w:rsidRPr="00915A06">
              <w:t xml:space="preserve">• Αρχικός έλεγχος σε τίτλους/περιλήψεις και στη συνέχεια στο πλήρες κείμενο. </w:t>
            </w:r>
          </w:p>
        </w:tc>
      </w:tr>
      <w:tr w:rsidR="008465DF" w14:paraId="764E0624" w14:textId="77777777" w:rsidTr="003F28AF">
        <w:tc>
          <w:tcPr>
            <w:tcW w:w="8296" w:type="dxa"/>
          </w:tcPr>
          <w:p w14:paraId="75130905" w14:textId="77777777" w:rsidR="008465DF" w:rsidRDefault="008465DF" w:rsidP="003F28AF">
            <w:r w:rsidRPr="00915A06">
              <w:t xml:space="preserve">• Επιλογή με βάση συνάφεια, πληρότητα και μεθοδολογική επάρκεια.                                                                                      </w:t>
            </w:r>
          </w:p>
        </w:tc>
      </w:tr>
    </w:tbl>
    <w:p w14:paraId="2A4E808D" w14:textId="77777777" w:rsidR="008465DF" w:rsidRDefault="008465DF" w:rsidP="008465DF"/>
    <w:tbl>
      <w:tblPr>
        <w:tblStyle w:val="ac"/>
        <w:tblW w:w="0" w:type="auto"/>
        <w:tblLook w:val="04A0" w:firstRow="1" w:lastRow="0" w:firstColumn="1" w:lastColumn="0" w:noHBand="0" w:noVBand="1"/>
      </w:tblPr>
      <w:tblGrid>
        <w:gridCol w:w="8296"/>
      </w:tblGrid>
      <w:tr w:rsidR="008465DF" w:rsidRPr="00915A06" w14:paraId="2A39CF9D" w14:textId="77777777" w:rsidTr="003F28AF">
        <w:tc>
          <w:tcPr>
            <w:tcW w:w="8296" w:type="dxa"/>
          </w:tcPr>
          <w:p w14:paraId="20A6633D" w14:textId="77777777" w:rsidR="008465DF" w:rsidRPr="00915A06" w:rsidRDefault="008465DF" w:rsidP="003F28AF">
            <w:pPr>
              <w:rPr>
                <w:b/>
                <w:bCs/>
              </w:rPr>
            </w:pPr>
            <w:r w:rsidRPr="00915A06">
              <w:rPr>
                <w:b/>
                <w:bCs/>
              </w:rPr>
              <w:t xml:space="preserve">3.4 Κριτήρια συμπερίληψης &amp; αποκλεισμού </w:t>
            </w:r>
          </w:p>
        </w:tc>
      </w:tr>
      <w:tr w:rsidR="008465DF" w:rsidRPr="00915A06" w14:paraId="1EF6826F" w14:textId="77777777" w:rsidTr="003F28AF">
        <w:tc>
          <w:tcPr>
            <w:tcW w:w="8296" w:type="dxa"/>
          </w:tcPr>
          <w:p w14:paraId="06DE7336" w14:textId="77777777" w:rsidR="008465DF" w:rsidRPr="00915A06" w:rsidRDefault="008465DF" w:rsidP="003F28AF">
            <w:pPr>
              <w:rPr>
                <w:u w:val="single"/>
              </w:rPr>
            </w:pPr>
            <w:r w:rsidRPr="00915A06">
              <w:rPr>
                <w:u w:val="single"/>
              </w:rPr>
              <w:t>Συμπερίληψη:</w:t>
            </w:r>
          </w:p>
        </w:tc>
      </w:tr>
      <w:tr w:rsidR="008465DF" w:rsidRPr="00915A06" w14:paraId="1FB48692" w14:textId="77777777" w:rsidTr="003F28AF">
        <w:tc>
          <w:tcPr>
            <w:tcW w:w="8296" w:type="dxa"/>
          </w:tcPr>
          <w:p w14:paraId="71F6AF6B" w14:textId="77777777" w:rsidR="008465DF" w:rsidRPr="00915A06" w:rsidRDefault="008465DF" w:rsidP="003F28AF">
            <w:r w:rsidRPr="00915A06">
              <w:t xml:space="preserve">• Επιστημονική τεκμηρίωση και σαφής μεθοδολογία. </w:t>
            </w:r>
          </w:p>
        </w:tc>
      </w:tr>
      <w:tr w:rsidR="008465DF" w:rsidRPr="00915A06" w14:paraId="4219682C" w14:textId="77777777" w:rsidTr="003F28AF">
        <w:tc>
          <w:tcPr>
            <w:tcW w:w="8296" w:type="dxa"/>
          </w:tcPr>
          <w:p w14:paraId="6B9B5BB0" w14:textId="77777777" w:rsidR="008465DF" w:rsidRPr="00915A06" w:rsidRDefault="008465DF" w:rsidP="003F28AF">
            <w:r w:rsidRPr="00915A06">
              <w:t xml:space="preserve">• Ευρήματα σχετιζόμενα με επιμόρφωση και επαγγελματική ανάπτυξη. </w:t>
            </w:r>
          </w:p>
        </w:tc>
      </w:tr>
      <w:tr w:rsidR="008465DF" w:rsidRPr="00915A06" w14:paraId="1321EC50" w14:textId="77777777" w:rsidTr="003F28AF">
        <w:tc>
          <w:tcPr>
            <w:tcW w:w="8296" w:type="dxa"/>
          </w:tcPr>
          <w:p w14:paraId="63BE35C7" w14:textId="77777777" w:rsidR="008465DF" w:rsidRPr="00915A06" w:rsidRDefault="008465DF" w:rsidP="003F28AF">
            <w:pPr>
              <w:rPr>
                <w:u w:val="single"/>
              </w:rPr>
            </w:pPr>
            <w:r w:rsidRPr="00915A06">
              <w:rPr>
                <w:u w:val="single"/>
              </w:rPr>
              <w:t xml:space="preserve">Αποκλεισμός: </w:t>
            </w:r>
          </w:p>
        </w:tc>
      </w:tr>
      <w:tr w:rsidR="008465DF" w:rsidRPr="00915A06" w14:paraId="40E149C6" w14:textId="77777777" w:rsidTr="003F28AF">
        <w:tc>
          <w:tcPr>
            <w:tcW w:w="8296" w:type="dxa"/>
          </w:tcPr>
          <w:p w14:paraId="17736473" w14:textId="77777777" w:rsidR="008465DF" w:rsidRPr="00915A06" w:rsidRDefault="008465DF" w:rsidP="003F28AF">
            <w:r w:rsidRPr="00915A06">
              <w:t xml:space="preserve">• Μη επιστημονικά κείμενα. </w:t>
            </w:r>
          </w:p>
        </w:tc>
      </w:tr>
      <w:tr w:rsidR="008465DF" w14:paraId="01C65467" w14:textId="77777777" w:rsidTr="003F28AF">
        <w:tc>
          <w:tcPr>
            <w:tcW w:w="8296" w:type="dxa"/>
          </w:tcPr>
          <w:p w14:paraId="1DD7FB09" w14:textId="77777777" w:rsidR="008465DF" w:rsidRDefault="008465DF" w:rsidP="003F28AF">
            <w:r w:rsidRPr="00915A06">
              <w:t xml:space="preserve">• Μελέτες με ασάφειες, μεθοδολογικά κενά ή έλλειψη στοιχείων.          </w:t>
            </w:r>
          </w:p>
        </w:tc>
      </w:tr>
    </w:tbl>
    <w:p w14:paraId="30A09583" w14:textId="77777777" w:rsidR="008465DF" w:rsidRDefault="008465DF" w:rsidP="008465DF">
      <w:r>
        <w:t xml:space="preserve">                                                      </w:t>
      </w:r>
    </w:p>
    <w:tbl>
      <w:tblPr>
        <w:tblStyle w:val="ac"/>
        <w:tblW w:w="0" w:type="auto"/>
        <w:tblLook w:val="04A0" w:firstRow="1" w:lastRow="0" w:firstColumn="1" w:lastColumn="0" w:noHBand="0" w:noVBand="1"/>
      </w:tblPr>
      <w:tblGrid>
        <w:gridCol w:w="8296"/>
      </w:tblGrid>
      <w:tr w:rsidR="008465DF" w:rsidRPr="00915A06" w14:paraId="2D39C80C" w14:textId="77777777" w:rsidTr="003F28AF">
        <w:tc>
          <w:tcPr>
            <w:tcW w:w="8296" w:type="dxa"/>
          </w:tcPr>
          <w:p w14:paraId="1B948EDF" w14:textId="77777777" w:rsidR="008465DF" w:rsidRPr="00915A06" w:rsidRDefault="008465DF" w:rsidP="003F28AF">
            <w:pPr>
              <w:rPr>
                <w:b/>
                <w:bCs/>
              </w:rPr>
            </w:pPr>
            <w:r w:rsidRPr="00915A06">
              <w:rPr>
                <w:b/>
                <w:bCs/>
              </w:rPr>
              <w:t xml:space="preserve">3.5 Διαδικασία ανάλυσης &amp; κατηγοριοποίησης </w:t>
            </w:r>
          </w:p>
        </w:tc>
      </w:tr>
      <w:tr w:rsidR="008465DF" w:rsidRPr="00915A06" w14:paraId="7A70817A" w14:textId="77777777" w:rsidTr="003F28AF">
        <w:tc>
          <w:tcPr>
            <w:tcW w:w="8296" w:type="dxa"/>
          </w:tcPr>
          <w:p w14:paraId="1CBC2F55" w14:textId="77777777" w:rsidR="008465DF" w:rsidRPr="00915A06" w:rsidRDefault="008465DF" w:rsidP="003F28AF">
            <w:r w:rsidRPr="00915A06">
              <w:t xml:space="preserve">• Θεματική ανάλυση των μελετών. </w:t>
            </w:r>
          </w:p>
        </w:tc>
      </w:tr>
      <w:tr w:rsidR="008465DF" w:rsidRPr="00915A06" w14:paraId="0C2A8723" w14:textId="77777777" w:rsidTr="003F28AF">
        <w:tc>
          <w:tcPr>
            <w:tcW w:w="8296" w:type="dxa"/>
          </w:tcPr>
          <w:p w14:paraId="49242EF7" w14:textId="77777777" w:rsidR="008465DF" w:rsidRPr="00915A06" w:rsidRDefault="008465DF" w:rsidP="003F28AF">
            <w:r w:rsidRPr="00915A06">
              <w:t xml:space="preserve">• Κατηγοριοποίηση με βάση: πλαίσιο, μεθοδολογία, διάρκεια επιμόρφωσης, επιδράσεις, παράγοντες επιτυχίας/αποτυχίας. </w:t>
            </w:r>
          </w:p>
        </w:tc>
      </w:tr>
      <w:tr w:rsidR="008465DF" w:rsidRPr="00915A06" w14:paraId="447A8AA8" w14:textId="77777777" w:rsidTr="003F28AF">
        <w:tc>
          <w:tcPr>
            <w:tcW w:w="8296" w:type="dxa"/>
          </w:tcPr>
          <w:p w14:paraId="568EEF2E" w14:textId="77777777" w:rsidR="008465DF" w:rsidRPr="00915A06" w:rsidRDefault="008465DF" w:rsidP="003F28AF">
            <w:r w:rsidRPr="00915A06">
              <w:t xml:space="preserve">• Εντοπισμός μοτίβων και συγκλίσεων. </w:t>
            </w:r>
          </w:p>
        </w:tc>
      </w:tr>
      <w:tr w:rsidR="008465DF" w:rsidRPr="00915A06" w14:paraId="4F6ADFA4" w14:textId="77777777" w:rsidTr="003F28AF">
        <w:tc>
          <w:tcPr>
            <w:tcW w:w="8296" w:type="dxa"/>
          </w:tcPr>
          <w:p w14:paraId="2C262BCB" w14:textId="77777777" w:rsidR="008465DF" w:rsidRPr="00915A06" w:rsidRDefault="008465DF" w:rsidP="003F28AF">
            <w:r w:rsidRPr="00915A06">
              <w:t xml:space="preserve">• Αδυναμία ενιαίας ποσοτικής ανάλυσης λόγω ετερογένειας μελετών.                                                                  </w:t>
            </w:r>
          </w:p>
        </w:tc>
      </w:tr>
    </w:tbl>
    <w:p w14:paraId="521268B3" w14:textId="77777777" w:rsidR="008465DF" w:rsidRDefault="008465DF" w:rsidP="008465DF"/>
    <w:tbl>
      <w:tblPr>
        <w:tblStyle w:val="ac"/>
        <w:tblW w:w="0" w:type="auto"/>
        <w:tblLook w:val="04A0" w:firstRow="1" w:lastRow="0" w:firstColumn="1" w:lastColumn="0" w:noHBand="0" w:noVBand="1"/>
      </w:tblPr>
      <w:tblGrid>
        <w:gridCol w:w="8296"/>
      </w:tblGrid>
      <w:tr w:rsidR="008465DF" w:rsidRPr="00915A06" w14:paraId="7BCE3525" w14:textId="77777777" w:rsidTr="003F28AF">
        <w:tc>
          <w:tcPr>
            <w:tcW w:w="8296" w:type="dxa"/>
          </w:tcPr>
          <w:p w14:paraId="274777DE" w14:textId="77777777" w:rsidR="008465DF" w:rsidRPr="00915A06" w:rsidRDefault="008465DF" w:rsidP="003F28AF">
            <w:pPr>
              <w:rPr>
                <w:b/>
                <w:bCs/>
              </w:rPr>
            </w:pPr>
            <w:r w:rsidRPr="00915A06">
              <w:rPr>
                <w:b/>
                <w:bCs/>
              </w:rPr>
              <w:t>3.6 Περιορισμοί της μεθόδου</w:t>
            </w:r>
          </w:p>
        </w:tc>
      </w:tr>
      <w:tr w:rsidR="008465DF" w:rsidRPr="00915A06" w14:paraId="2CC67C20" w14:textId="77777777" w:rsidTr="003F28AF">
        <w:tc>
          <w:tcPr>
            <w:tcW w:w="8296" w:type="dxa"/>
          </w:tcPr>
          <w:p w14:paraId="30D9C0CE" w14:textId="77777777" w:rsidR="008465DF" w:rsidRPr="00915A06" w:rsidRDefault="008465DF" w:rsidP="003F28AF">
            <w:r w:rsidRPr="00915A06">
              <w:t xml:space="preserve">• Γλωσσικός περιορισμός (ελληνικά-αγγλικά). </w:t>
            </w:r>
          </w:p>
        </w:tc>
      </w:tr>
      <w:tr w:rsidR="008465DF" w:rsidRPr="00915A06" w14:paraId="3F7B0CAD" w14:textId="77777777" w:rsidTr="003F28AF">
        <w:tc>
          <w:tcPr>
            <w:tcW w:w="8296" w:type="dxa"/>
          </w:tcPr>
          <w:p w14:paraId="55949092" w14:textId="77777777" w:rsidR="008465DF" w:rsidRPr="00915A06" w:rsidRDefault="008465DF" w:rsidP="003F28AF">
            <w:r w:rsidRPr="00915A06">
              <w:t xml:space="preserve">• Μεγάλη ποικιλία μεθοδολογιών και εργαλείων. </w:t>
            </w:r>
          </w:p>
        </w:tc>
      </w:tr>
      <w:tr w:rsidR="008465DF" w:rsidRPr="00915A06" w14:paraId="5DF121E9" w14:textId="77777777" w:rsidTr="003F28AF">
        <w:tc>
          <w:tcPr>
            <w:tcW w:w="8296" w:type="dxa"/>
          </w:tcPr>
          <w:p w14:paraId="6EA2284E" w14:textId="77777777" w:rsidR="008465DF" w:rsidRPr="00915A06" w:rsidRDefault="008465DF" w:rsidP="003F28AF">
            <w:r w:rsidRPr="00915A06">
              <w:t xml:space="preserve">• Χρονικό εύρος που αποκλείει παλαιότερες/μελλοντικές εξελίξεις. </w:t>
            </w:r>
          </w:p>
        </w:tc>
      </w:tr>
      <w:tr w:rsidR="008465DF" w:rsidRPr="00915A06" w14:paraId="78DFC81D" w14:textId="77777777" w:rsidTr="003F28AF">
        <w:tc>
          <w:tcPr>
            <w:tcW w:w="8296" w:type="dxa"/>
          </w:tcPr>
          <w:p w14:paraId="06AEBEF1" w14:textId="77777777" w:rsidR="008465DF" w:rsidRPr="00915A06" w:rsidRDefault="008465DF" w:rsidP="003F28AF">
            <w:r w:rsidRPr="00915A06">
              <w:t xml:space="preserve">• Υποκειμενικότητα στην κωδικοποίηση και κατηγοριοποίηση. </w:t>
            </w:r>
          </w:p>
        </w:tc>
      </w:tr>
      <w:tr w:rsidR="008465DF" w:rsidRPr="00915A06" w14:paraId="57D13C34" w14:textId="77777777" w:rsidTr="003F28AF">
        <w:tc>
          <w:tcPr>
            <w:tcW w:w="8296" w:type="dxa"/>
          </w:tcPr>
          <w:p w14:paraId="3C0CF2F4" w14:textId="77777777" w:rsidR="008465DF" w:rsidRPr="00915A06" w:rsidRDefault="008465DF" w:rsidP="003F28AF">
            <w:r w:rsidRPr="00915A06">
              <w:t xml:space="preserve">• Περιορισμένη δυνατότητα γενίκευσης.                                                            </w:t>
            </w:r>
          </w:p>
        </w:tc>
      </w:tr>
    </w:tbl>
    <w:p w14:paraId="3FD3F4D5" w14:textId="407BA83F" w:rsidR="008465DF" w:rsidRDefault="008465DF">
      <w:pPr>
        <w:rPr>
          <w:rFonts w:ascii="Calibri" w:hAnsi="Calibri" w:cs="Calibri"/>
        </w:rPr>
      </w:pPr>
      <w:r>
        <w:rPr>
          <w:rFonts w:ascii="Calibri" w:hAnsi="Calibri" w:cs="Calibri"/>
        </w:rPr>
        <w:t xml:space="preserve">  </w:t>
      </w:r>
    </w:p>
    <w:p w14:paraId="697D1B11" w14:textId="266F484E" w:rsidR="008465DF" w:rsidRDefault="008465DF" w:rsidP="007631A5">
      <w:pPr>
        <w:pStyle w:val="a6"/>
        <w:keepNext/>
        <w:keepLines/>
        <w:numPr>
          <w:ilvl w:val="0"/>
          <w:numId w:val="2"/>
        </w:numPr>
        <w:spacing w:before="360" w:after="80"/>
        <w:outlineLvl w:val="0"/>
        <w:rPr>
          <w:rFonts w:asciiTheme="majorHAnsi" w:eastAsia="Times New Roman" w:hAnsiTheme="majorHAnsi" w:cs="Times New Roman"/>
          <w:b/>
          <w:bCs/>
          <w:sz w:val="28"/>
          <w:szCs w:val="28"/>
        </w:rPr>
      </w:pPr>
      <w:r w:rsidRPr="007631A5">
        <w:rPr>
          <w:rFonts w:asciiTheme="majorHAnsi" w:eastAsia="Times New Roman" w:hAnsiTheme="majorHAnsi" w:cs="Times New Roman"/>
          <w:b/>
          <w:bCs/>
          <w:sz w:val="28"/>
          <w:szCs w:val="28"/>
        </w:rPr>
        <w:lastRenderedPageBreak/>
        <w:t>Παρουσία</w:t>
      </w:r>
      <w:r w:rsidR="007631A5">
        <w:rPr>
          <w:rFonts w:asciiTheme="majorHAnsi" w:eastAsia="Times New Roman" w:hAnsiTheme="majorHAnsi" w:cs="Times New Roman"/>
          <w:b/>
          <w:bCs/>
          <w:sz w:val="28"/>
          <w:szCs w:val="28"/>
        </w:rPr>
        <w:t>σ</w:t>
      </w:r>
      <w:r w:rsidRPr="007631A5">
        <w:rPr>
          <w:rFonts w:asciiTheme="majorHAnsi" w:eastAsia="Times New Roman" w:hAnsiTheme="majorHAnsi" w:cs="Times New Roman"/>
          <w:b/>
          <w:bCs/>
          <w:sz w:val="28"/>
          <w:szCs w:val="28"/>
        </w:rPr>
        <w:t xml:space="preserve">η και σύνθεση ευρημάτων της </w:t>
      </w:r>
      <w:proofErr w:type="spellStart"/>
      <w:r w:rsidRPr="007631A5">
        <w:rPr>
          <w:rFonts w:asciiTheme="majorHAnsi" w:eastAsia="Times New Roman" w:hAnsiTheme="majorHAnsi" w:cs="Times New Roman"/>
          <w:b/>
          <w:bCs/>
          <w:sz w:val="28"/>
          <w:szCs w:val="28"/>
        </w:rPr>
        <w:t>μετα</w:t>
      </w:r>
      <w:proofErr w:type="spellEnd"/>
      <w:r w:rsidRPr="007631A5">
        <w:rPr>
          <w:rFonts w:asciiTheme="majorHAnsi" w:eastAsia="Times New Roman" w:hAnsiTheme="majorHAnsi" w:cs="Times New Roman"/>
          <w:b/>
          <w:bCs/>
          <w:sz w:val="28"/>
          <w:szCs w:val="28"/>
        </w:rPr>
        <w:t>-ανάλυσης</w:t>
      </w:r>
    </w:p>
    <w:p w14:paraId="191F0262" w14:textId="3532B44B" w:rsidR="007631A5" w:rsidRPr="007631A5" w:rsidRDefault="007631A5" w:rsidP="007631A5">
      <w:pPr>
        <w:pStyle w:val="2"/>
        <w:spacing w:line="360" w:lineRule="auto"/>
        <w:jc w:val="both"/>
        <w:rPr>
          <w:rFonts w:ascii="Times New Roman" w:eastAsiaTheme="minorHAnsi" w:hAnsi="Times New Roman" w:cs="Times New Roman"/>
          <w:color w:val="auto"/>
          <w:sz w:val="28"/>
          <w:szCs w:val="28"/>
        </w:rPr>
      </w:pPr>
      <w:bookmarkStart w:id="0" w:name="_Toc219491510"/>
      <w:r w:rsidRPr="00D15B23">
        <w:rPr>
          <w:rFonts w:ascii="Times New Roman" w:eastAsiaTheme="minorHAnsi" w:hAnsi="Times New Roman" w:cs="Times New Roman"/>
          <w:color w:val="auto"/>
          <w:sz w:val="28"/>
          <w:szCs w:val="28"/>
        </w:rPr>
        <w:t>4.1 Επιρροή της επιμόρφωσης στη διδακτική πρακτική</w:t>
      </w:r>
      <w:bookmarkEnd w:id="0"/>
    </w:p>
    <w:tbl>
      <w:tblPr>
        <w:tblStyle w:val="ac"/>
        <w:tblW w:w="0" w:type="auto"/>
        <w:tblLook w:val="04A0" w:firstRow="1" w:lastRow="0" w:firstColumn="1" w:lastColumn="0" w:noHBand="0" w:noVBand="1"/>
      </w:tblPr>
      <w:tblGrid>
        <w:gridCol w:w="1591"/>
        <w:gridCol w:w="1689"/>
        <w:gridCol w:w="1668"/>
        <w:gridCol w:w="1639"/>
        <w:gridCol w:w="1709"/>
      </w:tblGrid>
      <w:tr w:rsidR="007631A5" w:rsidRPr="00C07201" w14:paraId="3FD78E60" w14:textId="77777777" w:rsidTr="003F28AF">
        <w:tc>
          <w:tcPr>
            <w:tcW w:w="1593" w:type="dxa"/>
          </w:tcPr>
          <w:p w14:paraId="45EDE9D7" w14:textId="77777777" w:rsidR="007631A5" w:rsidRPr="00C07201" w:rsidRDefault="007631A5" w:rsidP="003F28AF">
            <w:pPr>
              <w:spacing w:line="360" w:lineRule="auto"/>
              <w:rPr>
                <w:rFonts w:ascii="Times New Roman" w:hAnsi="Times New Roman" w:cs="Times New Roman"/>
                <w:b/>
                <w:bCs/>
              </w:rPr>
            </w:pPr>
            <w:r w:rsidRPr="00C07201">
              <w:rPr>
                <w:rFonts w:ascii="Times New Roman" w:hAnsi="Times New Roman" w:cs="Times New Roman"/>
                <w:b/>
                <w:bCs/>
              </w:rPr>
              <w:t>Έρευνα</w:t>
            </w:r>
          </w:p>
        </w:tc>
        <w:tc>
          <w:tcPr>
            <w:tcW w:w="1689" w:type="dxa"/>
          </w:tcPr>
          <w:p w14:paraId="5330B72B" w14:textId="77777777" w:rsidR="007631A5" w:rsidRPr="00C07201" w:rsidRDefault="007631A5" w:rsidP="003F28AF">
            <w:pPr>
              <w:spacing w:line="360" w:lineRule="auto"/>
              <w:rPr>
                <w:rFonts w:ascii="Times New Roman" w:hAnsi="Times New Roman" w:cs="Times New Roman"/>
                <w:b/>
                <w:bCs/>
              </w:rPr>
            </w:pPr>
            <w:r w:rsidRPr="00C07201">
              <w:rPr>
                <w:rFonts w:ascii="Times New Roman" w:hAnsi="Times New Roman" w:cs="Times New Roman"/>
                <w:b/>
                <w:bCs/>
              </w:rPr>
              <w:t>Θεωρητικό πλαίσιο</w:t>
            </w:r>
          </w:p>
        </w:tc>
        <w:tc>
          <w:tcPr>
            <w:tcW w:w="1668" w:type="dxa"/>
          </w:tcPr>
          <w:p w14:paraId="0EEFD334" w14:textId="77777777" w:rsidR="007631A5" w:rsidRPr="00C07201" w:rsidRDefault="007631A5" w:rsidP="003F28AF">
            <w:pPr>
              <w:spacing w:line="360" w:lineRule="auto"/>
              <w:rPr>
                <w:rFonts w:ascii="Times New Roman" w:hAnsi="Times New Roman" w:cs="Times New Roman"/>
                <w:b/>
                <w:bCs/>
              </w:rPr>
            </w:pPr>
            <w:r w:rsidRPr="00C07201">
              <w:rPr>
                <w:rFonts w:ascii="Times New Roman" w:hAnsi="Times New Roman" w:cs="Times New Roman"/>
                <w:b/>
                <w:bCs/>
              </w:rPr>
              <w:t>Δείγμα</w:t>
            </w:r>
          </w:p>
        </w:tc>
        <w:tc>
          <w:tcPr>
            <w:tcW w:w="1640" w:type="dxa"/>
          </w:tcPr>
          <w:p w14:paraId="2186188E" w14:textId="77777777" w:rsidR="007631A5" w:rsidRPr="00C07201" w:rsidRDefault="007631A5" w:rsidP="003F28AF">
            <w:pPr>
              <w:spacing w:line="360" w:lineRule="auto"/>
              <w:rPr>
                <w:rFonts w:ascii="Times New Roman" w:hAnsi="Times New Roman" w:cs="Times New Roman"/>
                <w:b/>
                <w:bCs/>
              </w:rPr>
            </w:pPr>
            <w:r w:rsidRPr="00C07201">
              <w:rPr>
                <w:rFonts w:ascii="Times New Roman" w:hAnsi="Times New Roman" w:cs="Times New Roman"/>
                <w:b/>
                <w:bCs/>
              </w:rPr>
              <w:t>Μέθοδος</w:t>
            </w:r>
          </w:p>
        </w:tc>
        <w:tc>
          <w:tcPr>
            <w:tcW w:w="1706" w:type="dxa"/>
          </w:tcPr>
          <w:p w14:paraId="3068CEF0" w14:textId="77777777" w:rsidR="007631A5" w:rsidRPr="00C07201" w:rsidRDefault="007631A5" w:rsidP="003F28AF">
            <w:pPr>
              <w:spacing w:line="360" w:lineRule="auto"/>
              <w:rPr>
                <w:rFonts w:ascii="Times New Roman" w:hAnsi="Times New Roman" w:cs="Times New Roman"/>
                <w:b/>
                <w:bCs/>
              </w:rPr>
            </w:pPr>
            <w:r w:rsidRPr="00C07201">
              <w:rPr>
                <w:rFonts w:ascii="Times New Roman" w:hAnsi="Times New Roman" w:cs="Times New Roman"/>
                <w:b/>
                <w:bCs/>
              </w:rPr>
              <w:t>Βαθμίδα</w:t>
            </w:r>
          </w:p>
        </w:tc>
      </w:tr>
      <w:tr w:rsidR="007631A5" w:rsidRPr="00F61600" w14:paraId="4C90151D" w14:textId="77777777" w:rsidTr="003F28AF">
        <w:tc>
          <w:tcPr>
            <w:tcW w:w="1593" w:type="dxa"/>
          </w:tcPr>
          <w:p w14:paraId="4B7DD3C3"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Amemasor</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(2025)</w:t>
            </w:r>
          </w:p>
        </w:tc>
        <w:tc>
          <w:tcPr>
            <w:tcW w:w="1689" w:type="dxa"/>
          </w:tcPr>
          <w:p w14:paraId="3531C658"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 xml:space="preserve">Ψηφιακή παιδαγωγική &amp; </w:t>
            </w:r>
            <w:proofErr w:type="spellStart"/>
            <w:r w:rsidRPr="00F61600">
              <w:rPr>
                <w:rFonts w:ascii="Times New Roman" w:hAnsi="Times New Roman" w:cs="Times New Roman"/>
              </w:rPr>
              <w:t>TPD</w:t>
            </w:r>
            <w:proofErr w:type="spellEnd"/>
          </w:p>
        </w:tc>
        <w:tc>
          <w:tcPr>
            <w:tcW w:w="1668" w:type="dxa"/>
          </w:tcPr>
          <w:p w14:paraId="5192E40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Διεθνείς μελέτες</w:t>
            </w:r>
          </w:p>
        </w:tc>
        <w:tc>
          <w:tcPr>
            <w:tcW w:w="1640" w:type="dxa"/>
          </w:tcPr>
          <w:p w14:paraId="0B42B40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Συστηματική ανασκόπηση</w:t>
            </w:r>
          </w:p>
        </w:tc>
        <w:tc>
          <w:tcPr>
            <w:tcW w:w="1706" w:type="dxa"/>
          </w:tcPr>
          <w:p w14:paraId="1900BE45"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637E5F3D" w14:textId="77777777" w:rsidTr="003F28AF">
        <w:tc>
          <w:tcPr>
            <w:tcW w:w="1593" w:type="dxa"/>
          </w:tcPr>
          <w:p w14:paraId="4E86CE47"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Mohamad</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Hasim</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(2022)</w:t>
            </w:r>
          </w:p>
        </w:tc>
        <w:tc>
          <w:tcPr>
            <w:tcW w:w="1689" w:type="dxa"/>
          </w:tcPr>
          <w:p w14:paraId="24A46458"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STEM</w:t>
            </w:r>
            <w:proofErr w:type="spellEnd"/>
            <w:r w:rsidRPr="00F61600">
              <w:rPr>
                <w:rFonts w:ascii="Times New Roman" w:hAnsi="Times New Roman" w:cs="Times New Roman"/>
              </w:rPr>
              <w:t xml:space="preserve"> &amp; διερευνητική μάθηση</w:t>
            </w:r>
          </w:p>
        </w:tc>
        <w:tc>
          <w:tcPr>
            <w:tcW w:w="1668" w:type="dxa"/>
          </w:tcPr>
          <w:p w14:paraId="51AA42AF"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 xml:space="preserve">Εκπαιδευτικοί </w:t>
            </w:r>
            <w:proofErr w:type="spellStart"/>
            <w:r w:rsidRPr="00F61600">
              <w:rPr>
                <w:rFonts w:ascii="Times New Roman" w:hAnsi="Times New Roman" w:cs="Times New Roman"/>
              </w:rPr>
              <w:t>STEM</w:t>
            </w:r>
            <w:proofErr w:type="spellEnd"/>
          </w:p>
        </w:tc>
        <w:tc>
          <w:tcPr>
            <w:tcW w:w="1640" w:type="dxa"/>
          </w:tcPr>
          <w:p w14:paraId="0BCD0EB1"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Μικτή μέθοδος</w:t>
            </w:r>
          </w:p>
        </w:tc>
        <w:tc>
          <w:tcPr>
            <w:tcW w:w="1706" w:type="dxa"/>
          </w:tcPr>
          <w:p w14:paraId="54B94AFB"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Δευτεροβάθμια</w:t>
            </w:r>
          </w:p>
        </w:tc>
      </w:tr>
      <w:tr w:rsidR="007631A5" w:rsidRPr="00F61600" w14:paraId="32E2F27E" w14:textId="77777777" w:rsidTr="003F28AF">
        <w:tc>
          <w:tcPr>
            <w:tcW w:w="1593" w:type="dxa"/>
          </w:tcPr>
          <w:p w14:paraId="0218A21F"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Kraft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(2018)</w:t>
            </w:r>
          </w:p>
        </w:tc>
        <w:tc>
          <w:tcPr>
            <w:tcW w:w="1689" w:type="dxa"/>
          </w:tcPr>
          <w:p w14:paraId="06103583"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Teacher</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coaching</w:t>
            </w:r>
            <w:proofErr w:type="spellEnd"/>
            <w:r w:rsidRPr="00F61600">
              <w:rPr>
                <w:rFonts w:ascii="Times New Roman" w:hAnsi="Times New Roman" w:cs="Times New Roman"/>
              </w:rPr>
              <w:t xml:space="preserve"> &amp; επαγγελματική ανάπτυξη</w:t>
            </w:r>
          </w:p>
        </w:tc>
        <w:tc>
          <w:tcPr>
            <w:tcW w:w="1668" w:type="dxa"/>
          </w:tcPr>
          <w:p w14:paraId="36E1A98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60 πρωτογενείς μελέτες</w:t>
            </w:r>
          </w:p>
        </w:tc>
        <w:tc>
          <w:tcPr>
            <w:tcW w:w="1640" w:type="dxa"/>
          </w:tcPr>
          <w:p w14:paraId="0A32513A"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 xml:space="preserve">Ποσοτική </w:t>
            </w:r>
            <w:proofErr w:type="spellStart"/>
            <w:r w:rsidRPr="00F61600">
              <w:rPr>
                <w:rFonts w:ascii="Times New Roman" w:hAnsi="Times New Roman" w:cs="Times New Roman"/>
              </w:rPr>
              <w:t>μετα</w:t>
            </w:r>
            <w:proofErr w:type="spellEnd"/>
            <w:r w:rsidRPr="00F61600">
              <w:rPr>
                <w:rFonts w:ascii="Times New Roman" w:hAnsi="Times New Roman" w:cs="Times New Roman"/>
              </w:rPr>
              <w:t>-ανάλυση</w:t>
            </w:r>
          </w:p>
        </w:tc>
        <w:tc>
          <w:tcPr>
            <w:tcW w:w="1706" w:type="dxa"/>
          </w:tcPr>
          <w:p w14:paraId="4762C316"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Προσχολική &amp; Πρωτοβάθμια</w:t>
            </w:r>
          </w:p>
        </w:tc>
      </w:tr>
    </w:tbl>
    <w:p w14:paraId="04EF4029" w14:textId="5347AD05" w:rsidR="008465DF" w:rsidRDefault="007631A5">
      <w:pPr>
        <w:rPr>
          <w:rFonts w:ascii="Calibri" w:hAnsi="Calibri" w:cs="Calibri"/>
        </w:rPr>
      </w:pPr>
      <w:r>
        <w:rPr>
          <w:rFonts w:ascii="Calibri" w:hAnsi="Calibri" w:cs="Calibri"/>
        </w:rPr>
        <w:t xml:space="preserve">    </w:t>
      </w:r>
    </w:p>
    <w:p w14:paraId="501D55EC" w14:textId="77777777" w:rsidR="007631A5" w:rsidRPr="00C94429" w:rsidRDefault="007631A5" w:rsidP="007631A5">
      <w:pPr>
        <w:pStyle w:val="2"/>
        <w:spacing w:line="360" w:lineRule="auto"/>
        <w:jc w:val="both"/>
        <w:rPr>
          <w:rFonts w:ascii="Times New Roman" w:eastAsiaTheme="minorHAnsi" w:hAnsi="Times New Roman" w:cs="Times New Roman"/>
          <w:color w:val="auto"/>
          <w:sz w:val="28"/>
          <w:szCs w:val="28"/>
        </w:rPr>
      </w:pPr>
      <w:bookmarkStart w:id="1" w:name="_Toc219491511"/>
      <w:r w:rsidRPr="00C94429">
        <w:rPr>
          <w:rFonts w:ascii="Times New Roman" w:eastAsiaTheme="minorHAnsi" w:hAnsi="Times New Roman" w:cs="Times New Roman"/>
          <w:color w:val="auto"/>
          <w:sz w:val="28"/>
          <w:szCs w:val="28"/>
        </w:rPr>
        <w:t xml:space="preserve">4.2 Επαγγελματική ανάπτυξη και </w:t>
      </w:r>
      <w:proofErr w:type="spellStart"/>
      <w:r w:rsidRPr="00C94429">
        <w:rPr>
          <w:rFonts w:ascii="Times New Roman" w:eastAsiaTheme="minorHAnsi" w:hAnsi="Times New Roman" w:cs="Times New Roman"/>
          <w:color w:val="auto"/>
          <w:sz w:val="28"/>
          <w:szCs w:val="28"/>
        </w:rPr>
        <w:t>αυτοαποτελεσματικότητα</w:t>
      </w:r>
      <w:bookmarkEnd w:id="1"/>
      <w:proofErr w:type="spellEnd"/>
      <w:r w:rsidRPr="00C94429">
        <w:rPr>
          <w:rFonts w:ascii="Times New Roman" w:eastAsiaTheme="minorHAnsi" w:hAnsi="Times New Roman" w:cs="Times New Roman"/>
          <w:color w:val="auto"/>
          <w:sz w:val="28"/>
          <w:szCs w:val="28"/>
        </w:rPr>
        <w:t xml:space="preserve"> </w:t>
      </w:r>
    </w:p>
    <w:p w14:paraId="22130E6E" w14:textId="77777777" w:rsidR="007631A5" w:rsidRDefault="007631A5">
      <w:pPr>
        <w:rPr>
          <w:rFonts w:ascii="Calibri" w:hAnsi="Calibri" w:cs="Calibri"/>
        </w:rPr>
      </w:pPr>
    </w:p>
    <w:tbl>
      <w:tblPr>
        <w:tblStyle w:val="ac"/>
        <w:tblW w:w="0" w:type="auto"/>
        <w:tblLook w:val="04A0" w:firstRow="1" w:lastRow="0" w:firstColumn="1" w:lastColumn="0" w:noHBand="0" w:noVBand="1"/>
      </w:tblPr>
      <w:tblGrid>
        <w:gridCol w:w="1575"/>
        <w:gridCol w:w="1878"/>
        <w:gridCol w:w="1651"/>
        <w:gridCol w:w="1483"/>
        <w:gridCol w:w="1709"/>
      </w:tblGrid>
      <w:tr w:rsidR="007631A5" w:rsidRPr="00F61600" w14:paraId="202ED346" w14:textId="77777777" w:rsidTr="003F28AF">
        <w:tc>
          <w:tcPr>
            <w:tcW w:w="1611" w:type="dxa"/>
          </w:tcPr>
          <w:p w14:paraId="17E3A7B8" w14:textId="77777777" w:rsidR="007631A5" w:rsidRPr="00F61600" w:rsidRDefault="007631A5" w:rsidP="003F28AF">
            <w:pPr>
              <w:spacing w:line="360" w:lineRule="auto"/>
              <w:rPr>
                <w:rFonts w:ascii="Times New Roman" w:hAnsi="Times New Roman" w:cs="Times New Roman"/>
                <w:b/>
                <w:bCs/>
              </w:rPr>
            </w:pPr>
            <w:r w:rsidRPr="00F61600">
              <w:rPr>
                <w:rFonts w:ascii="Times New Roman" w:hAnsi="Times New Roman" w:cs="Times New Roman"/>
                <w:b/>
                <w:bCs/>
              </w:rPr>
              <w:t>Έρευνα</w:t>
            </w:r>
          </w:p>
        </w:tc>
        <w:tc>
          <w:tcPr>
            <w:tcW w:w="1771" w:type="dxa"/>
          </w:tcPr>
          <w:p w14:paraId="13A5F914" w14:textId="77777777" w:rsidR="007631A5" w:rsidRPr="00F61600" w:rsidRDefault="007631A5" w:rsidP="003F28AF">
            <w:pPr>
              <w:spacing w:line="360" w:lineRule="auto"/>
              <w:rPr>
                <w:rFonts w:ascii="Times New Roman" w:hAnsi="Times New Roman" w:cs="Times New Roman"/>
                <w:b/>
                <w:bCs/>
              </w:rPr>
            </w:pPr>
            <w:r w:rsidRPr="00F61600">
              <w:rPr>
                <w:rFonts w:ascii="Times New Roman" w:hAnsi="Times New Roman" w:cs="Times New Roman"/>
                <w:b/>
                <w:bCs/>
              </w:rPr>
              <w:t>Θεωρητικό πλαίσιο</w:t>
            </w:r>
          </w:p>
        </w:tc>
        <w:tc>
          <w:tcPr>
            <w:tcW w:w="1663" w:type="dxa"/>
          </w:tcPr>
          <w:p w14:paraId="61512B13" w14:textId="77777777" w:rsidR="007631A5" w:rsidRPr="00F61600" w:rsidRDefault="007631A5" w:rsidP="003F28AF">
            <w:pPr>
              <w:spacing w:line="360" w:lineRule="auto"/>
              <w:rPr>
                <w:rFonts w:ascii="Times New Roman" w:hAnsi="Times New Roman" w:cs="Times New Roman"/>
                <w:b/>
                <w:bCs/>
              </w:rPr>
            </w:pPr>
            <w:r w:rsidRPr="00F61600">
              <w:rPr>
                <w:rFonts w:ascii="Times New Roman" w:hAnsi="Times New Roman" w:cs="Times New Roman"/>
                <w:b/>
                <w:bCs/>
              </w:rPr>
              <w:t>Δείγμα</w:t>
            </w:r>
          </w:p>
        </w:tc>
        <w:tc>
          <w:tcPr>
            <w:tcW w:w="1547" w:type="dxa"/>
          </w:tcPr>
          <w:p w14:paraId="01EE5FF2" w14:textId="77777777" w:rsidR="007631A5" w:rsidRPr="00F61600" w:rsidRDefault="007631A5" w:rsidP="003F28AF">
            <w:pPr>
              <w:spacing w:line="360" w:lineRule="auto"/>
              <w:rPr>
                <w:rFonts w:ascii="Times New Roman" w:hAnsi="Times New Roman" w:cs="Times New Roman"/>
                <w:b/>
                <w:bCs/>
              </w:rPr>
            </w:pPr>
            <w:r w:rsidRPr="00F61600">
              <w:rPr>
                <w:rFonts w:ascii="Times New Roman" w:hAnsi="Times New Roman" w:cs="Times New Roman"/>
                <w:b/>
                <w:bCs/>
              </w:rPr>
              <w:t>Μέθοδος</w:t>
            </w:r>
          </w:p>
        </w:tc>
        <w:tc>
          <w:tcPr>
            <w:tcW w:w="1704" w:type="dxa"/>
          </w:tcPr>
          <w:p w14:paraId="30E36F3A" w14:textId="77777777" w:rsidR="007631A5" w:rsidRPr="00F61600" w:rsidRDefault="007631A5" w:rsidP="003F28AF">
            <w:pPr>
              <w:spacing w:line="360" w:lineRule="auto"/>
              <w:rPr>
                <w:rFonts w:ascii="Times New Roman" w:hAnsi="Times New Roman" w:cs="Times New Roman"/>
                <w:b/>
                <w:bCs/>
              </w:rPr>
            </w:pPr>
            <w:r w:rsidRPr="00F61600">
              <w:rPr>
                <w:rFonts w:ascii="Times New Roman" w:hAnsi="Times New Roman" w:cs="Times New Roman"/>
                <w:b/>
                <w:bCs/>
              </w:rPr>
              <w:t>Βαθμίδα</w:t>
            </w:r>
          </w:p>
        </w:tc>
      </w:tr>
      <w:tr w:rsidR="007631A5" w:rsidRPr="00F61600" w14:paraId="67E0AA57" w14:textId="77777777" w:rsidTr="003F28AF">
        <w:tc>
          <w:tcPr>
            <w:tcW w:w="1611" w:type="dxa"/>
          </w:tcPr>
          <w:p w14:paraId="3F6BEEAF"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Hendrickx</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(2025)</w:t>
            </w:r>
          </w:p>
        </w:tc>
        <w:tc>
          <w:tcPr>
            <w:tcW w:w="1771" w:type="dxa"/>
          </w:tcPr>
          <w:p w14:paraId="2AB089A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Κοινότητες μάθησης</w:t>
            </w:r>
          </w:p>
        </w:tc>
        <w:tc>
          <w:tcPr>
            <w:tcW w:w="1663" w:type="dxa"/>
          </w:tcPr>
          <w:p w14:paraId="519D18CA"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Εκπαιδευτικοί</w:t>
            </w:r>
          </w:p>
        </w:tc>
        <w:tc>
          <w:tcPr>
            <w:tcW w:w="1547" w:type="dxa"/>
          </w:tcPr>
          <w:p w14:paraId="12CCF0C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Μικτή μέθοδος</w:t>
            </w:r>
          </w:p>
        </w:tc>
        <w:tc>
          <w:tcPr>
            <w:tcW w:w="1704" w:type="dxa"/>
          </w:tcPr>
          <w:p w14:paraId="5B3DAB4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Δευτεροβάθμια</w:t>
            </w:r>
          </w:p>
        </w:tc>
      </w:tr>
      <w:tr w:rsidR="007631A5" w:rsidRPr="00F61600" w14:paraId="44055055" w14:textId="77777777" w:rsidTr="003F28AF">
        <w:tc>
          <w:tcPr>
            <w:tcW w:w="1611" w:type="dxa"/>
          </w:tcPr>
          <w:p w14:paraId="30F3CCDC"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Rahmaditha</w:t>
            </w:r>
            <w:proofErr w:type="spellEnd"/>
            <w:r w:rsidRPr="00F61600">
              <w:rPr>
                <w:rFonts w:ascii="Times New Roman" w:hAnsi="Times New Roman" w:cs="Times New Roman"/>
              </w:rPr>
              <w:t xml:space="preserve"> &amp; </w:t>
            </w:r>
            <w:proofErr w:type="spellStart"/>
            <w:r w:rsidRPr="00F61600">
              <w:rPr>
                <w:rFonts w:ascii="Times New Roman" w:hAnsi="Times New Roman" w:cs="Times New Roman"/>
              </w:rPr>
              <w:t>Putra</w:t>
            </w:r>
            <w:proofErr w:type="spellEnd"/>
            <w:r w:rsidRPr="00F61600">
              <w:rPr>
                <w:rFonts w:ascii="Times New Roman" w:hAnsi="Times New Roman" w:cs="Times New Roman"/>
              </w:rPr>
              <w:t xml:space="preserve"> (2024)</w:t>
            </w:r>
          </w:p>
        </w:tc>
        <w:tc>
          <w:tcPr>
            <w:tcW w:w="1771" w:type="dxa"/>
          </w:tcPr>
          <w:p w14:paraId="1406D410"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Ενδυνάμωση φύλου</w:t>
            </w:r>
          </w:p>
        </w:tc>
        <w:tc>
          <w:tcPr>
            <w:tcW w:w="1663" w:type="dxa"/>
          </w:tcPr>
          <w:p w14:paraId="65022FDE"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Γυναίκες εκπαιδευτικοί</w:t>
            </w:r>
          </w:p>
        </w:tc>
        <w:tc>
          <w:tcPr>
            <w:tcW w:w="1547" w:type="dxa"/>
          </w:tcPr>
          <w:p w14:paraId="1FF3517C"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Ποιοτική</w:t>
            </w:r>
          </w:p>
        </w:tc>
        <w:tc>
          <w:tcPr>
            <w:tcW w:w="1704" w:type="dxa"/>
          </w:tcPr>
          <w:p w14:paraId="5489C2DC"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Πρωτοβάθμια &amp; Δευτεροβάθμια</w:t>
            </w:r>
          </w:p>
        </w:tc>
      </w:tr>
      <w:tr w:rsidR="007631A5" w:rsidRPr="00F61600" w14:paraId="3226A7B7" w14:textId="77777777" w:rsidTr="003F28AF">
        <w:tc>
          <w:tcPr>
            <w:tcW w:w="1611" w:type="dxa"/>
          </w:tcPr>
          <w:p w14:paraId="1AE7A1A0"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Donitsa-Schmidt</w:t>
            </w:r>
            <w:proofErr w:type="spellEnd"/>
            <w:r w:rsidRPr="00F61600">
              <w:rPr>
                <w:rFonts w:ascii="Times New Roman" w:hAnsi="Times New Roman" w:cs="Times New Roman"/>
              </w:rPr>
              <w:t xml:space="preserve"> &amp; </w:t>
            </w:r>
            <w:proofErr w:type="spellStart"/>
            <w:r w:rsidRPr="00F61600">
              <w:rPr>
                <w:rFonts w:ascii="Times New Roman" w:hAnsi="Times New Roman" w:cs="Times New Roman"/>
              </w:rPr>
              <w:t>Ramot</w:t>
            </w:r>
            <w:proofErr w:type="spellEnd"/>
            <w:r w:rsidRPr="00F61600">
              <w:rPr>
                <w:rFonts w:ascii="Times New Roman" w:hAnsi="Times New Roman" w:cs="Times New Roman"/>
              </w:rPr>
              <w:t xml:space="preserve"> (2020)</w:t>
            </w:r>
          </w:p>
        </w:tc>
        <w:tc>
          <w:tcPr>
            <w:tcW w:w="1771" w:type="dxa"/>
          </w:tcPr>
          <w:p w14:paraId="43303B4F"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Επαγγελματική ανάπτυξη σε κρίση</w:t>
            </w:r>
          </w:p>
        </w:tc>
        <w:tc>
          <w:tcPr>
            <w:tcW w:w="1663" w:type="dxa"/>
          </w:tcPr>
          <w:p w14:paraId="2C602AC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Εκπαιδευτικοί Ισραήλ</w:t>
            </w:r>
          </w:p>
        </w:tc>
        <w:tc>
          <w:tcPr>
            <w:tcW w:w="1547" w:type="dxa"/>
          </w:tcPr>
          <w:p w14:paraId="0055EF69"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Ποιοτική</w:t>
            </w:r>
          </w:p>
        </w:tc>
        <w:tc>
          <w:tcPr>
            <w:tcW w:w="1704" w:type="dxa"/>
          </w:tcPr>
          <w:p w14:paraId="7BCE3DD2"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65F8124C" w14:textId="77777777" w:rsidTr="003F28AF">
        <w:tc>
          <w:tcPr>
            <w:tcW w:w="1611" w:type="dxa"/>
          </w:tcPr>
          <w:p w14:paraId="0FFCD41A"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Richards</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(2019)</w:t>
            </w:r>
          </w:p>
        </w:tc>
        <w:tc>
          <w:tcPr>
            <w:tcW w:w="1771" w:type="dxa"/>
          </w:tcPr>
          <w:p w14:paraId="71619AE5"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Επαγγελματική κοινωνικοποίηση</w:t>
            </w:r>
          </w:p>
        </w:tc>
        <w:tc>
          <w:tcPr>
            <w:tcW w:w="1663" w:type="dxa"/>
          </w:tcPr>
          <w:p w14:paraId="48803EE6"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Διεθνής βιβλιογραφία ΦΑ</w:t>
            </w:r>
          </w:p>
        </w:tc>
        <w:tc>
          <w:tcPr>
            <w:tcW w:w="1547" w:type="dxa"/>
          </w:tcPr>
          <w:p w14:paraId="7AF9D332"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Scoping</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review</w:t>
            </w:r>
            <w:proofErr w:type="spellEnd"/>
          </w:p>
        </w:tc>
        <w:tc>
          <w:tcPr>
            <w:tcW w:w="1704" w:type="dxa"/>
          </w:tcPr>
          <w:p w14:paraId="5D28169B"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Δευτεροβάθμια</w:t>
            </w:r>
          </w:p>
        </w:tc>
      </w:tr>
    </w:tbl>
    <w:p w14:paraId="202A51C3" w14:textId="77777777" w:rsidR="007631A5" w:rsidRDefault="007631A5">
      <w:pPr>
        <w:rPr>
          <w:rFonts w:ascii="Calibri" w:hAnsi="Calibri" w:cs="Calibri"/>
        </w:rPr>
      </w:pPr>
    </w:p>
    <w:p w14:paraId="4DDC6E05" w14:textId="77777777" w:rsidR="007631A5" w:rsidRPr="00C94429" w:rsidRDefault="007631A5" w:rsidP="007631A5">
      <w:pPr>
        <w:pStyle w:val="2"/>
        <w:spacing w:line="360" w:lineRule="auto"/>
        <w:jc w:val="both"/>
        <w:rPr>
          <w:rFonts w:ascii="Times New Roman" w:eastAsiaTheme="minorHAnsi" w:hAnsi="Times New Roman" w:cs="Times New Roman"/>
          <w:color w:val="auto"/>
          <w:sz w:val="28"/>
          <w:szCs w:val="28"/>
        </w:rPr>
      </w:pPr>
      <w:bookmarkStart w:id="2" w:name="_Toc219491512"/>
      <w:r w:rsidRPr="00C94429">
        <w:rPr>
          <w:rFonts w:ascii="Times New Roman" w:eastAsiaTheme="minorHAnsi" w:hAnsi="Times New Roman" w:cs="Times New Roman"/>
          <w:color w:val="auto"/>
          <w:sz w:val="28"/>
          <w:szCs w:val="28"/>
        </w:rPr>
        <w:lastRenderedPageBreak/>
        <w:t>4.3 Παράγοντες που ενισχύουν την αποτελεσματική επιμόρφωση</w:t>
      </w:r>
      <w:bookmarkEnd w:id="2"/>
    </w:p>
    <w:p w14:paraId="59773942" w14:textId="77777777" w:rsidR="007631A5" w:rsidRDefault="007631A5">
      <w:pPr>
        <w:rPr>
          <w:rFonts w:ascii="Calibri" w:hAnsi="Calibri" w:cs="Calibri"/>
        </w:rPr>
      </w:pPr>
    </w:p>
    <w:tbl>
      <w:tblPr>
        <w:tblStyle w:val="ac"/>
        <w:tblW w:w="0" w:type="auto"/>
        <w:tblLook w:val="04A0" w:firstRow="1" w:lastRow="0" w:firstColumn="1" w:lastColumn="0" w:noHBand="0" w:noVBand="1"/>
      </w:tblPr>
      <w:tblGrid>
        <w:gridCol w:w="1606"/>
        <w:gridCol w:w="2067"/>
        <w:gridCol w:w="1606"/>
        <w:gridCol w:w="1308"/>
        <w:gridCol w:w="1709"/>
      </w:tblGrid>
      <w:tr w:rsidR="007631A5" w:rsidRPr="00F61600" w14:paraId="63E6A04C" w14:textId="77777777" w:rsidTr="003F28AF">
        <w:tc>
          <w:tcPr>
            <w:tcW w:w="1633" w:type="dxa"/>
          </w:tcPr>
          <w:p w14:paraId="5A6D98F0"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Έρευνα</w:t>
            </w:r>
          </w:p>
        </w:tc>
        <w:tc>
          <w:tcPr>
            <w:tcW w:w="1916" w:type="dxa"/>
          </w:tcPr>
          <w:p w14:paraId="3991236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Θεωρητικό πλαίσιο</w:t>
            </w:r>
          </w:p>
        </w:tc>
        <w:tc>
          <w:tcPr>
            <w:tcW w:w="1622" w:type="dxa"/>
          </w:tcPr>
          <w:p w14:paraId="1007F5B2"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Δείγμα</w:t>
            </w:r>
          </w:p>
        </w:tc>
        <w:tc>
          <w:tcPr>
            <w:tcW w:w="1437" w:type="dxa"/>
          </w:tcPr>
          <w:p w14:paraId="1C6967E3"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Μέθοδος</w:t>
            </w:r>
          </w:p>
        </w:tc>
        <w:tc>
          <w:tcPr>
            <w:tcW w:w="1688" w:type="dxa"/>
          </w:tcPr>
          <w:p w14:paraId="12C3281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Βαθμίδα</w:t>
            </w:r>
          </w:p>
        </w:tc>
      </w:tr>
      <w:tr w:rsidR="007631A5" w:rsidRPr="00F61600" w14:paraId="687405DE" w14:textId="77777777" w:rsidTr="003F28AF">
        <w:tc>
          <w:tcPr>
            <w:tcW w:w="1633" w:type="dxa"/>
          </w:tcPr>
          <w:p w14:paraId="21A0738E"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Pressley</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(2021)</w:t>
            </w:r>
          </w:p>
        </w:tc>
        <w:tc>
          <w:tcPr>
            <w:tcW w:w="1916" w:type="dxa"/>
          </w:tcPr>
          <w:p w14:paraId="237DD04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Θεωρία-στρες</w:t>
            </w:r>
          </w:p>
        </w:tc>
        <w:tc>
          <w:tcPr>
            <w:tcW w:w="1622" w:type="dxa"/>
          </w:tcPr>
          <w:p w14:paraId="2CACD8EA"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Εκπαιδευτικοί ΗΠΑ</w:t>
            </w:r>
          </w:p>
        </w:tc>
        <w:tc>
          <w:tcPr>
            <w:tcW w:w="1437" w:type="dxa"/>
          </w:tcPr>
          <w:p w14:paraId="7E0A52A9"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Ποσοτική</w:t>
            </w:r>
          </w:p>
        </w:tc>
        <w:tc>
          <w:tcPr>
            <w:tcW w:w="1688" w:type="dxa"/>
          </w:tcPr>
          <w:p w14:paraId="6D120C70"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546F6579" w14:textId="77777777" w:rsidTr="003F28AF">
        <w:tc>
          <w:tcPr>
            <w:tcW w:w="1633" w:type="dxa"/>
          </w:tcPr>
          <w:p w14:paraId="4612061E"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Trikoilis</w:t>
            </w:r>
            <w:proofErr w:type="spellEnd"/>
            <w:r w:rsidRPr="00F61600">
              <w:rPr>
                <w:rFonts w:ascii="Times New Roman" w:hAnsi="Times New Roman" w:cs="Times New Roman"/>
              </w:rPr>
              <w:t xml:space="preserve"> &amp; </w:t>
            </w:r>
            <w:proofErr w:type="spellStart"/>
            <w:r w:rsidRPr="00F61600">
              <w:rPr>
                <w:rFonts w:ascii="Times New Roman" w:hAnsi="Times New Roman" w:cs="Times New Roman"/>
              </w:rPr>
              <w:t>Papanastasiou</w:t>
            </w:r>
            <w:proofErr w:type="spellEnd"/>
            <w:r w:rsidRPr="00F61600">
              <w:rPr>
                <w:rFonts w:ascii="Times New Roman" w:hAnsi="Times New Roman" w:cs="Times New Roman"/>
              </w:rPr>
              <w:t xml:space="preserve"> (2021)</w:t>
            </w:r>
          </w:p>
        </w:tc>
        <w:tc>
          <w:tcPr>
            <w:tcW w:w="1916" w:type="dxa"/>
          </w:tcPr>
          <w:p w14:paraId="3C81790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Χρήση έρευνας</w:t>
            </w:r>
          </w:p>
        </w:tc>
        <w:tc>
          <w:tcPr>
            <w:tcW w:w="1622" w:type="dxa"/>
          </w:tcPr>
          <w:p w14:paraId="4E0CCA00"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Έλληνες εκπαιδευτικοί</w:t>
            </w:r>
          </w:p>
        </w:tc>
        <w:tc>
          <w:tcPr>
            <w:tcW w:w="1437" w:type="dxa"/>
          </w:tcPr>
          <w:p w14:paraId="5BAE2E4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Ποσοτική</w:t>
            </w:r>
          </w:p>
        </w:tc>
        <w:tc>
          <w:tcPr>
            <w:tcW w:w="1688" w:type="dxa"/>
          </w:tcPr>
          <w:p w14:paraId="4432302F"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2472BF20" w14:textId="77777777" w:rsidTr="003F28AF">
        <w:tc>
          <w:tcPr>
            <w:tcW w:w="1633" w:type="dxa"/>
          </w:tcPr>
          <w:p w14:paraId="5094AA19"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Dogan</w:t>
            </w:r>
            <w:proofErr w:type="spellEnd"/>
            <w:r w:rsidRPr="00F61600">
              <w:rPr>
                <w:rFonts w:ascii="Times New Roman" w:hAnsi="Times New Roman" w:cs="Times New Roman"/>
              </w:rPr>
              <w:t xml:space="preserve"> &amp; </w:t>
            </w:r>
            <w:proofErr w:type="spellStart"/>
            <w:r w:rsidRPr="00F61600">
              <w:rPr>
                <w:rFonts w:ascii="Times New Roman" w:hAnsi="Times New Roman" w:cs="Times New Roman"/>
              </w:rPr>
              <w:t>Adams</w:t>
            </w:r>
            <w:proofErr w:type="spellEnd"/>
            <w:r w:rsidRPr="00F61600">
              <w:rPr>
                <w:rFonts w:ascii="Times New Roman" w:hAnsi="Times New Roman" w:cs="Times New Roman"/>
              </w:rPr>
              <w:t xml:space="preserve"> (2020)</w:t>
            </w:r>
          </w:p>
        </w:tc>
        <w:tc>
          <w:tcPr>
            <w:tcW w:w="1916" w:type="dxa"/>
          </w:tcPr>
          <w:p w14:paraId="724E646F"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Επαγγελματικές κοινότητες</w:t>
            </w:r>
          </w:p>
        </w:tc>
        <w:tc>
          <w:tcPr>
            <w:tcW w:w="1622" w:type="dxa"/>
          </w:tcPr>
          <w:p w14:paraId="446FF0FB"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Εκπαιδευτικοί</w:t>
            </w:r>
          </w:p>
        </w:tc>
        <w:tc>
          <w:tcPr>
            <w:tcW w:w="1437" w:type="dxa"/>
          </w:tcPr>
          <w:p w14:paraId="157CB45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Ποσοτική</w:t>
            </w:r>
          </w:p>
        </w:tc>
        <w:tc>
          <w:tcPr>
            <w:tcW w:w="1688" w:type="dxa"/>
          </w:tcPr>
          <w:p w14:paraId="6C200BD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2270EA1F" w14:textId="77777777" w:rsidTr="003F28AF">
        <w:tc>
          <w:tcPr>
            <w:tcW w:w="1633" w:type="dxa"/>
          </w:tcPr>
          <w:p w14:paraId="611AF2E2"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Kim</w:t>
            </w:r>
            <w:proofErr w:type="spellEnd"/>
            <w:r w:rsidRPr="00F61600">
              <w:rPr>
                <w:rFonts w:ascii="Times New Roman" w:hAnsi="Times New Roman" w:cs="Times New Roman"/>
              </w:rPr>
              <w:t xml:space="preserve"> &amp; </w:t>
            </w:r>
            <w:proofErr w:type="spellStart"/>
            <w:r w:rsidRPr="00F61600">
              <w:rPr>
                <w:rFonts w:ascii="Times New Roman" w:hAnsi="Times New Roman" w:cs="Times New Roman"/>
              </w:rPr>
              <w:t>Asbury</w:t>
            </w:r>
            <w:proofErr w:type="spellEnd"/>
            <w:r w:rsidRPr="00F61600">
              <w:rPr>
                <w:rFonts w:ascii="Times New Roman" w:hAnsi="Times New Roman" w:cs="Times New Roman"/>
              </w:rPr>
              <w:t xml:space="preserve"> (2020)</w:t>
            </w:r>
          </w:p>
        </w:tc>
        <w:tc>
          <w:tcPr>
            <w:tcW w:w="1916" w:type="dxa"/>
          </w:tcPr>
          <w:p w14:paraId="61E4B425"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Επαγγελματικό στρες</w:t>
            </w:r>
          </w:p>
        </w:tc>
        <w:tc>
          <w:tcPr>
            <w:tcW w:w="1622" w:type="dxa"/>
          </w:tcPr>
          <w:p w14:paraId="1DDFECC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Εκπαιδευτικοί Αγγλίας</w:t>
            </w:r>
          </w:p>
        </w:tc>
        <w:tc>
          <w:tcPr>
            <w:tcW w:w="1437" w:type="dxa"/>
          </w:tcPr>
          <w:p w14:paraId="328C238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Ποιοτική</w:t>
            </w:r>
          </w:p>
        </w:tc>
        <w:tc>
          <w:tcPr>
            <w:tcW w:w="1688" w:type="dxa"/>
          </w:tcPr>
          <w:p w14:paraId="453BCE9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r w:rsidR="007631A5" w:rsidRPr="00F61600" w14:paraId="2EAEC264" w14:textId="77777777" w:rsidTr="003F28AF">
        <w:tc>
          <w:tcPr>
            <w:tcW w:w="1633" w:type="dxa"/>
          </w:tcPr>
          <w:p w14:paraId="60D25F62"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Opere</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(2020)</w:t>
            </w:r>
          </w:p>
        </w:tc>
        <w:tc>
          <w:tcPr>
            <w:tcW w:w="1916" w:type="dxa"/>
          </w:tcPr>
          <w:p w14:paraId="01A20E51"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Μετασχηματιστική παιδαγωγική</w:t>
            </w:r>
          </w:p>
        </w:tc>
        <w:tc>
          <w:tcPr>
            <w:tcW w:w="1622" w:type="dxa"/>
          </w:tcPr>
          <w:p w14:paraId="410BF97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Καθηγητές Κένυας</w:t>
            </w:r>
          </w:p>
        </w:tc>
        <w:tc>
          <w:tcPr>
            <w:tcW w:w="1437" w:type="dxa"/>
          </w:tcPr>
          <w:p w14:paraId="036F15DE"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Ποιοτική</w:t>
            </w:r>
          </w:p>
        </w:tc>
        <w:tc>
          <w:tcPr>
            <w:tcW w:w="1688" w:type="dxa"/>
          </w:tcPr>
          <w:p w14:paraId="57A6A25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Δευτεροβάθμια</w:t>
            </w:r>
          </w:p>
        </w:tc>
      </w:tr>
    </w:tbl>
    <w:p w14:paraId="617AD477" w14:textId="77777777" w:rsidR="007631A5" w:rsidRDefault="007631A5">
      <w:pPr>
        <w:rPr>
          <w:rFonts w:ascii="Calibri" w:hAnsi="Calibri" w:cs="Calibri"/>
        </w:rPr>
      </w:pPr>
      <w:r>
        <w:rPr>
          <w:rFonts w:ascii="Calibri" w:hAnsi="Calibri" w:cs="Calibri"/>
        </w:rPr>
        <w:t xml:space="preserve"> </w:t>
      </w:r>
    </w:p>
    <w:p w14:paraId="633F008C" w14:textId="77777777" w:rsidR="007631A5" w:rsidRPr="00C94429" w:rsidRDefault="007631A5" w:rsidP="007631A5">
      <w:pPr>
        <w:pStyle w:val="2"/>
        <w:spacing w:line="360" w:lineRule="auto"/>
        <w:jc w:val="both"/>
        <w:rPr>
          <w:rFonts w:ascii="Times New Roman" w:eastAsiaTheme="minorHAnsi" w:hAnsi="Times New Roman" w:cs="Times New Roman"/>
          <w:color w:val="auto"/>
          <w:sz w:val="28"/>
          <w:szCs w:val="28"/>
        </w:rPr>
      </w:pPr>
      <w:bookmarkStart w:id="3" w:name="_Toc219491513"/>
      <w:r w:rsidRPr="00C94429">
        <w:rPr>
          <w:rFonts w:ascii="Times New Roman" w:eastAsiaTheme="minorHAnsi" w:hAnsi="Times New Roman" w:cs="Times New Roman"/>
          <w:color w:val="auto"/>
          <w:sz w:val="28"/>
          <w:szCs w:val="28"/>
        </w:rPr>
        <w:t>4.4 Πραγματικότητα στον Ελλαδικό χώρο</w:t>
      </w:r>
      <w:bookmarkEnd w:id="3"/>
    </w:p>
    <w:p w14:paraId="428429A9" w14:textId="77777777" w:rsidR="007631A5" w:rsidRPr="00CC6FBE" w:rsidRDefault="007631A5">
      <w:pPr>
        <w:rPr>
          <w:rFonts w:ascii="Calibri" w:hAnsi="Calibri" w:cs="Calibri"/>
        </w:rPr>
      </w:pPr>
    </w:p>
    <w:tbl>
      <w:tblPr>
        <w:tblStyle w:val="ac"/>
        <w:tblW w:w="0" w:type="auto"/>
        <w:tblLook w:val="04A0" w:firstRow="1" w:lastRow="0" w:firstColumn="1" w:lastColumn="0" w:noHBand="0" w:noVBand="1"/>
      </w:tblPr>
      <w:tblGrid>
        <w:gridCol w:w="1651"/>
        <w:gridCol w:w="1700"/>
        <w:gridCol w:w="1637"/>
        <w:gridCol w:w="1585"/>
        <w:gridCol w:w="1723"/>
      </w:tblGrid>
      <w:tr w:rsidR="007631A5" w:rsidRPr="00F61600" w14:paraId="604A7FB6" w14:textId="77777777" w:rsidTr="003F28AF">
        <w:tc>
          <w:tcPr>
            <w:tcW w:w="1728" w:type="dxa"/>
          </w:tcPr>
          <w:p w14:paraId="4035C3DB"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Έρευνα</w:t>
            </w:r>
          </w:p>
        </w:tc>
        <w:tc>
          <w:tcPr>
            <w:tcW w:w="1728" w:type="dxa"/>
          </w:tcPr>
          <w:p w14:paraId="69A76E3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Θεωρητικό πλαίσιο</w:t>
            </w:r>
          </w:p>
        </w:tc>
        <w:tc>
          <w:tcPr>
            <w:tcW w:w="1728" w:type="dxa"/>
          </w:tcPr>
          <w:p w14:paraId="573D178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Δείγμα</w:t>
            </w:r>
          </w:p>
        </w:tc>
        <w:tc>
          <w:tcPr>
            <w:tcW w:w="1728" w:type="dxa"/>
          </w:tcPr>
          <w:p w14:paraId="5DBBF85F"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Μέθοδος</w:t>
            </w:r>
          </w:p>
        </w:tc>
        <w:tc>
          <w:tcPr>
            <w:tcW w:w="1728" w:type="dxa"/>
          </w:tcPr>
          <w:p w14:paraId="0F34310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Βαθμίδα</w:t>
            </w:r>
          </w:p>
        </w:tc>
      </w:tr>
      <w:tr w:rsidR="007631A5" w:rsidRPr="00F61600" w14:paraId="58BA1205" w14:textId="77777777" w:rsidTr="003F28AF">
        <w:tc>
          <w:tcPr>
            <w:tcW w:w="1728" w:type="dxa"/>
          </w:tcPr>
          <w:p w14:paraId="2512479B"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Pliogou</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(2024)</w:t>
            </w:r>
          </w:p>
        </w:tc>
        <w:tc>
          <w:tcPr>
            <w:tcW w:w="1728" w:type="dxa"/>
          </w:tcPr>
          <w:p w14:paraId="4951BAA8"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Εξ αποστάσεως εκπαίδευση</w:t>
            </w:r>
          </w:p>
        </w:tc>
        <w:tc>
          <w:tcPr>
            <w:tcW w:w="1728" w:type="dxa"/>
          </w:tcPr>
          <w:p w14:paraId="5F72A575"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Νηπιαγωγοί &amp; γονείς</w:t>
            </w:r>
          </w:p>
        </w:tc>
        <w:tc>
          <w:tcPr>
            <w:tcW w:w="1728" w:type="dxa"/>
          </w:tcPr>
          <w:p w14:paraId="4C425EF5"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Μικτή μέθοδος</w:t>
            </w:r>
          </w:p>
        </w:tc>
        <w:tc>
          <w:tcPr>
            <w:tcW w:w="1728" w:type="dxa"/>
          </w:tcPr>
          <w:p w14:paraId="2941B499"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Προσχολική</w:t>
            </w:r>
          </w:p>
        </w:tc>
      </w:tr>
      <w:tr w:rsidR="007631A5" w:rsidRPr="00F61600" w14:paraId="2A33DB45" w14:textId="77777777" w:rsidTr="003F28AF">
        <w:tc>
          <w:tcPr>
            <w:tcW w:w="1728" w:type="dxa"/>
          </w:tcPr>
          <w:p w14:paraId="75522BBF" w14:textId="77777777" w:rsidR="007631A5" w:rsidRPr="00F61600" w:rsidRDefault="007631A5" w:rsidP="003F28AF">
            <w:pPr>
              <w:spacing w:line="360" w:lineRule="auto"/>
              <w:rPr>
                <w:rFonts w:ascii="Times New Roman" w:hAnsi="Times New Roman" w:cs="Times New Roman"/>
              </w:rPr>
            </w:pPr>
            <w:proofErr w:type="spellStart"/>
            <w:r w:rsidRPr="00F61600">
              <w:rPr>
                <w:rFonts w:ascii="Times New Roman" w:hAnsi="Times New Roman" w:cs="Times New Roman"/>
              </w:rPr>
              <w:t>Koutsika</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et</w:t>
            </w:r>
            <w:proofErr w:type="spellEnd"/>
            <w:r w:rsidRPr="00F61600">
              <w:rPr>
                <w:rFonts w:ascii="Times New Roman" w:hAnsi="Times New Roman" w:cs="Times New Roman"/>
              </w:rPr>
              <w:t xml:space="preserve"> </w:t>
            </w:r>
            <w:proofErr w:type="spellStart"/>
            <w:r w:rsidRPr="00F61600">
              <w:rPr>
                <w:rFonts w:ascii="Times New Roman" w:hAnsi="Times New Roman" w:cs="Times New Roman"/>
              </w:rPr>
              <w:t>al</w:t>
            </w:r>
            <w:proofErr w:type="spellEnd"/>
            <w:r w:rsidRPr="00F61600">
              <w:rPr>
                <w:rFonts w:ascii="Times New Roman" w:hAnsi="Times New Roman" w:cs="Times New Roman"/>
              </w:rPr>
              <w:t>. (2023)</w:t>
            </w:r>
          </w:p>
        </w:tc>
        <w:tc>
          <w:tcPr>
            <w:tcW w:w="1728" w:type="dxa"/>
          </w:tcPr>
          <w:p w14:paraId="6C6527BC"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 xml:space="preserve">Ομότιμος </w:t>
            </w:r>
            <w:proofErr w:type="spellStart"/>
            <w:r w:rsidRPr="00F61600">
              <w:rPr>
                <w:rFonts w:ascii="Times New Roman" w:hAnsi="Times New Roman" w:cs="Times New Roman"/>
              </w:rPr>
              <w:t>αναστοχασμός</w:t>
            </w:r>
            <w:proofErr w:type="spellEnd"/>
          </w:p>
        </w:tc>
        <w:tc>
          <w:tcPr>
            <w:tcW w:w="1728" w:type="dxa"/>
          </w:tcPr>
          <w:p w14:paraId="7FB23FF8"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Καθηγητές Αγγλικών</w:t>
            </w:r>
          </w:p>
        </w:tc>
        <w:tc>
          <w:tcPr>
            <w:tcW w:w="1728" w:type="dxa"/>
          </w:tcPr>
          <w:p w14:paraId="744D03DA"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Ποιοτική</w:t>
            </w:r>
          </w:p>
        </w:tc>
        <w:tc>
          <w:tcPr>
            <w:tcW w:w="1728" w:type="dxa"/>
          </w:tcPr>
          <w:p w14:paraId="4999BEA7"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Δευτεροβάθμια</w:t>
            </w:r>
          </w:p>
        </w:tc>
      </w:tr>
      <w:tr w:rsidR="007631A5" w:rsidRPr="00F61600" w14:paraId="318F93C6" w14:textId="77777777" w:rsidTr="003F28AF">
        <w:tc>
          <w:tcPr>
            <w:tcW w:w="1728" w:type="dxa"/>
          </w:tcPr>
          <w:p w14:paraId="226FAE4D"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European Commission (2023)</w:t>
            </w:r>
          </w:p>
        </w:tc>
        <w:tc>
          <w:tcPr>
            <w:tcW w:w="1728" w:type="dxa"/>
          </w:tcPr>
          <w:p w14:paraId="317E7759"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Δια βίου μάθηση</w:t>
            </w:r>
          </w:p>
        </w:tc>
        <w:tc>
          <w:tcPr>
            <w:tcW w:w="1728" w:type="dxa"/>
          </w:tcPr>
          <w:p w14:paraId="5BB54DB9"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Χώρες ΕΕ</w:t>
            </w:r>
          </w:p>
        </w:tc>
        <w:tc>
          <w:tcPr>
            <w:tcW w:w="1728" w:type="dxa"/>
          </w:tcPr>
          <w:p w14:paraId="55739B7B"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Ανάλυση πολιτικών</w:t>
            </w:r>
          </w:p>
        </w:tc>
        <w:tc>
          <w:tcPr>
            <w:tcW w:w="1728" w:type="dxa"/>
          </w:tcPr>
          <w:p w14:paraId="4F209F64" w14:textId="77777777" w:rsidR="007631A5" w:rsidRPr="00F61600" w:rsidRDefault="007631A5" w:rsidP="003F28AF">
            <w:pPr>
              <w:spacing w:line="360" w:lineRule="auto"/>
              <w:rPr>
                <w:rFonts w:ascii="Times New Roman" w:hAnsi="Times New Roman" w:cs="Times New Roman"/>
              </w:rPr>
            </w:pPr>
            <w:r w:rsidRPr="00F61600">
              <w:rPr>
                <w:rFonts w:ascii="Times New Roman" w:hAnsi="Times New Roman" w:cs="Times New Roman"/>
              </w:rPr>
              <w:t>Όλες</w:t>
            </w:r>
          </w:p>
        </w:tc>
      </w:tr>
    </w:tbl>
    <w:p w14:paraId="02C6CE57" w14:textId="3CCB61FC" w:rsidR="007631A5" w:rsidRDefault="007631A5">
      <w:pPr>
        <w:rPr>
          <w:rFonts w:ascii="Calibri" w:hAnsi="Calibri" w:cs="Calibri"/>
        </w:rPr>
      </w:pPr>
    </w:p>
    <w:p w14:paraId="2A10F92C" w14:textId="7A1FBA5E" w:rsidR="007631A5" w:rsidRPr="007631A5" w:rsidRDefault="007631A5" w:rsidP="007631A5">
      <w:pPr>
        <w:pStyle w:val="2"/>
        <w:spacing w:line="360" w:lineRule="auto"/>
        <w:rPr>
          <w:rFonts w:ascii="Times New Roman" w:hAnsi="Times New Roman" w:cs="Times New Roman"/>
          <w:b/>
          <w:bCs/>
          <w:color w:val="000000"/>
          <w:sz w:val="24"/>
          <w:szCs w:val="24"/>
        </w:rPr>
      </w:pPr>
      <w:r w:rsidRPr="007631A5">
        <w:rPr>
          <w:rFonts w:ascii="Times New Roman" w:hAnsi="Times New Roman" w:cs="Times New Roman"/>
          <w:b/>
          <w:bCs/>
          <w:color w:val="000000"/>
          <w:sz w:val="24"/>
          <w:szCs w:val="24"/>
        </w:rPr>
        <w:lastRenderedPageBreak/>
        <w:t xml:space="preserve">5.-6. </w:t>
      </w:r>
      <w:r w:rsidRPr="007631A5">
        <w:rPr>
          <w:rFonts w:ascii="Times New Roman" w:hAnsi="Times New Roman" w:cs="Times New Roman"/>
          <w:b/>
          <w:bCs/>
          <w:color w:val="000000"/>
          <w:sz w:val="24"/>
          <w:szCs w:val="24"/>
        </w:rPr>
        <w:t xml:space="preserve">Συζήτηση &amp; Συμπεράσματα </w:t>
      </w:r>
    </w:p>
    <w:p w14:paraId="6833C687" w14:textId="77777777" w:rsidR="007631A5" w:rsidRPr="007631A5" w:rsidRDefault="007631A5" w:rsidP="007631A5">
      <w:pPr>
        <w:pStyle w:val="Web"/>
        <w:numPr>
          <w:ilvl w:val="0"/>
          <w:numId w:val="9"/>
        </w:numPr>
        <w:spacing w:line="360" w:lineRule="auto"/>
        <w:rPr>
          <w:color w:val="000000"/>
        </w:rPr>
      </w:pPr>
      <w:r w:rsidRPr="007631A5">
        <w:rPr>
          <w:color w:val="000000"/>
        </w:rPr>
        <w:t>Η επιμόρφωση αποτελεί</w:t>
      </w:r>
      <w:r w:rsidRPr="007631A5">
        <w:rPr>
          <w:rStyle w:val="apple-converted-space"/>
          <w:rFonts w:eastAsiaTheme="majorEastAsia"/>
          <w:color w:val="000000"/>
        </w:rPr>
        <w:t> </w:t>
      </w:r>
      <w:r w:rsidRPr="007631A5">
        <w:rPr>
          <w:rStyle w:val="ad"/>
          <w:rFonts w:eastAsiaTheme="majorEastAsia"/>
          <w:color w:val="000000"/>
        </w:rPr>
        <w:t>διαρκή, δυναμική και πολυδιάστατη διαδικασία</w:t>
      </w:r>
      <w:r w:rsidRPr="007631A5">
        <w:rPr>
          <w:color w:val="000000"/>
        </w:rPr>
        <w:t>, που υπερβαίνει τη μετάδοση γνώσεων.</w:t>
      </w:r>
    </w:p>
    <w:p w14:paraId="25541611" w14:textId="77777777" w:rsidR="007631A5" w:rsidRPr="007631A5" w:rsidRDefault="007631A5" w:rsidP="007631A5">
      <w:pPr>
        <w:pStyle w:val="Web"/>
        <w:numPr>
          <w:ilvl w:val="0"/>
          <w:numId w:val="9"/>
        </w:numPr>
        <w:spacing w:line="360" w:lineRule="auto"/>
        <w:rPr>
          <w:color w:val="000000"/>
        </w:rPr>
      </w:pPr>
      <w:r w:rsidRPr="007631A5">
        <w:rPr>
          <w:color w:val="000000"/>
        </w:rPr>
        <w:t>Η επιμόρφωση στοχεύει στην</w:t>
      </w:r>
      <w:r w:rsidRPr="007631A5">
        <w:rPr>
          <w:rStyle w:val="apple-converted-space"/>
          <w:rFonts w:eastAsiaTheme="majorEastAsia"/>
          <w:color w:val="000000"/>
        </w:rPr>
        <w:t> </w:t>
      </w:r>
      <w:r w:rsidRPr="007631A5">
        <w:rPr>
          <w:rStyle w:val="ad"/>
          <w:rFonts w:eastAsiaTheme="majorEastAsia"/>
          <w:color w:val="000000"/>
        </w:rPr>
        <w:t xml:space="preserve">ενδυνάμωση της </w:t>
      </w:r>
      <w:proofErr w:type="spellStart"/>
      <w:r w:rsidRPr="007631A5">
        <w:rPr>
          <w:rStyle w:val="ad"/>
          <w:rFonts w:eastAsiaTheme="majorEastAsia"/>
          <w:color w:val="000000"/>
        </w:rPr>
        <w:t>αυτοαποτελεσματικότητας</w:t>
      </w:r>
      <w:proofErr w:type="spellEnd"/>
      <w:r w:rsidRPr="007631A5">
        <w:rPr>
          <w:color w:val="000000"/>
        </w:rPr>
        <w:t>, την</w:t>
      </w:r>
      <w:r w:rsidRPr="007631A5">
        <w:rPr>
          <w:rStyle w:val="apple-converted-space"/>
          <w:rFonts w:eastAsiaTheme="majorEastAsia"/>
          <w:color w:val="000000"/>
        </w:rPr>
        <w:t> </w:t>
      </w:r>
      <w:r w:rsidRPr="007631A5">
        <w:rPr>
          <w:rStyle w:val="ad"/>
          <w:rFonts w:eastAsiaTheme="majorEastAsia"/>
          <w:color w:val="000000"/>
        </w:rPr>
        <w:t>ανάπτυξη επαγγελματικής αυτονομίας</w:t>
      </w:r>
      <w:r w:rsidRPr="007631A5">
        <w:rPr>
          <w:rStyle w:val="apple-converted-space"/>
          <w:rFonts w:eastAsiaTheme="majorEastAsia"/>
          <w:color w:val="000000"/>
        </w:rPr>
        <w:t> </w:t>
      </w:r>
      <w:r w:rsidRPr="007631A5">
        <w:rPr>
          <w:color w:val="000000"/>
        </w:rPr>
        <w:t>και τη διαμόρφωση</w:t>
      </w:r>
      <w:r w:rsidRPr="007631A5">
        <w:rPr>
          <w:rStyle w:val="apple-converted-space"/>
          <w:rFonts w:eastAsiaTheme="majorEastAsia"/>
          <w:color w:val="000000"/>
        </w:rPr>
        <w:t> </w:t>
      </w:r>
      <w:r w:rsidRPr="007631A5">
        <w:rPr>
          <w:rStyle w:val="ad"/>
          <w:rFonts w:eastAsiaTheme="majorEastAsia"/>
          <w:color w:val="000000"/>
        </w:rPr>
        <w:t>κατάλληλης επαγγελματικής ταυτότητας</w:t>
      </w:r>
      <w:r w:rsidRPr="007631A5">
        <w:rPr>
          <w:color w:val="000000"/>
        </w:rPr>
        <w:t>.</w:t>
      </w:r>
    </w:p>
    <w:p w14:paraId="25DF48AB" w14:textId="77777777" w:rsidR="007631A5" w:rsidRPr="007631A5" w:rsidRDefault="007631A5" w:rsidP="007631A5">
      <w:pPr>
        <w:pStyle w:val="Web"/>
        <w:numPr>
          <w:ilvl w:val="0"/>
          <w:numId w:val="9"/>
        </w:numPr>
        <w:spacing w:line="360" w:lineRule="auto"/>
        <w:rPr>
          <w:color w:val="000000"/>
        </w:rPr>
      </w:pPr>
      <w:r w:rsidRPr="007631A5">
        <w:rPr>
          <w:color w:val="000000"/>
        </w:rPr>
        <w:t>Τα προγράμματα που είναι</w:t>
      </w:r>
      <w:r w:rsidRPr="007631A5">
        <w:rPr>
          <w:rStyle w:val="apple-converted-space"/>
          <w:rFonts w:eastAsiaTheme="majorEastAsia"/>
          <w:color w:val="000000"/>
        </w:rPr>
        <w:t> </w:t>
      </w:r>
      <w:r w:rsidRPr="007631A5">
        <w:rPr>
          <w:rStyle w:val="ad"/>
          <w:rFonts w:eastAsiaTheme="majorEastAsia"/>
          <w:color w:val="000000"/>
        </w:rPr>
        <w:t>βιωματικά, μακροχρόνια, συνεργατικά</w:t>
      </w:r>
      <w:r w:rsidRPr="007631A5">
        <w:rPr>
          <w:rStyle w:val="apple-converted-space"/>
          <w:rFonts w:eastAsiaTheme="majorEastAsia"/>
          <w:color w:val="000000"/>
        </w:rPr>
        <w:t> </w:t>
      </w:r>
      <w:r w:rsidRPr="007631A5">
        <w:rPr>
          <w:color w:val="000000"/>
        </w:rPr>
        <w:t>και ενσωματώνουν</w:t>
      </w:r>
      <w:r w:rsidRPr="007631A5">
        <w:rPr>
          <w:rStyle w:val="apple-converted-space"/>
          <w:rFonts w:eastAsiaTheme="majorEastAsia"/>
          <w:color w:val="000000"/>
        </w:rPr>
        <w:t> </w:t>
      </w:r>
      <w:proofErr w:type="spellStart"/>
      <w:r w:rsidRPr="007631A5">
        <w:rPr>
          <w:rStyle w:val="ad"/>
          <w:rFonts w:eastAsiaTheme="majorEastAsia"/>
          <w:color w:val="000000"/>
        </w:rPr>
        <w:t>αναστοχαστικές</w:t>
      </w:r>
      <w:proofErr w:type="spellEnd"/>
      <w:r w:rsidRPr="007631A5">
        <w:rPr>
          <w:rStyle w:val="ad"/>
          <w:rFonts w:eastAsiaTheme="majorEastAsia"/>
          <w:color w:val="000000"/>
        </w:rPr>
        <w:t xml:space="preserve"> πρακτικές</w:t>
      </w:r>
      <w:r w:rsidRPr="007631A5">
        <w:rPr>
          <w:rStyle w:val="apple-converted-space"/>
          <w:rFonts w:eastAsiaTheme="majorEastAsia"/>
          <w:color w:val="000000"/>
        </w:rPr>
        <w:t> </w:t>
      </w:r>
      <w:r w:rsidRPr="007631A5">
        <w:rPr>
          <w:color w:val="000000"/>
        </w:rPr>
        <w:t>είναι τα πιο αποτελεσματικά.</w:t>
      </w:r>
    </w:p>
    <w:p w14:paraId="01F38E55" w14:textId="77777777" w:rsidR="007631A5" w:rsidRPr="007631A5" w:rsidRDefault="007631A5" w:rsidP="007631A5">
      <w:pPr>
        <w:pStyle w:val="Web"/>
        <w:numPr>
          <w:ilvl w:val="0"/>
          <w:numId w:val="9"/>
        </w:numPr>
        <w:spacing w:line="360" w:lineRule="auto"/>
        <w:rPr>
          <w:color w:val="000000"/>
        </w:rPr>
      </w:pPr>
      <w:r w:rsidRPr="007631A5">
        <w:rPr>
          <w:color w:val="000000"/>
        </w:rPr>
        <w:t>Η συμμετοχή σε</w:t>
      </w:r>
      <w:r w:rsidRPr="007631A5">
        <w:rPr>
          <w:rStyle w:val="apple-converted-space"/>
          <w:rFonts w:eastAsiaTheme="majorEastAsia"/>
          <w:color w:val="000000"/>
        </w:rPr>
        <w:t> </w:t>
      </w:r>
      <w:r w:rsidRPr="007631A5">
        <w:rPr>
          <w:rStyle w:val="ad"/>
          <w:rFonts w:eastAsiaTheme="majorEastAsia"/>
          <w:color w:val="000000"/>
        </w:rPr>
        <w:t>επαγγελματικές κοινότητες μάθησης</w:t>
      </w:r>
      <w:r w:rsidRPr="007631A5">
        <w:rPr>
          <w:rStyle w:val="apple-converted-space"/>
          <w:rFonts w:eastAsiaTheme="majorEastAsia"/>
          <w:color w:val="000000"/>
        </w:rPr>
        <w:t> </w:t>
      </w:r>
      <w:r w:rsidRPr="007631A5">
        <w:rPr>
          <w:color w:val="000000"/>
        </w:rPr>
        <w:t>ενισχύει την αυτορρύθμιση, την αυτογνωσία και την επαγγελματική δέσμευση των εκπαιδευτικών.</w:t>
      </w:r>
    </w:p>
    <w:p w14:paraId="77A80DEB" w14:textId="77777777" w:rsidR="007631A5" w:rsidRPr="007631A5" w:rsidRDefault="007631A5" w:rsidP="007631A5">
      <w:pPr>
        <w:pStyle w:val="Web"/>
        <w:numPr>
          <w:ilvl w:val="0"/>
          <w:numId w:val="9"/>
        </w:numPr>
        <w:spacing w:line="360" w:lineRule="auto"/>
        <w:rPr>
          <w:color w:val="000000"/>
        </w:rPr>
      </w:pPr>
      <w:r w:rsidRPr="007631A5">
        <w:rPr>
          <w:color w:val="000000"/>
        </w:rPr>
        <w:t>Η</w:t>
      </w:r>
      <w:r w:rsidRPr="007631A5">
        <w:rPr>
          <w:rStyle w:val="apple-converted-space"/>
          <w:rFonts w:eastAsiaTheme="majorEastAsia"/>
          <w:color w:val="000000"/>
        </w:rPr>
        <w:t> </w:t>
      </w:r>
      <w:r w:rsidRPr="007631A5">
        <w:rPr>
          <w:rStyle w:val="ad"/>
          <w:rFonts w:eastAsiaTheme="majorEastAsia"/>
          <w:color w:val="000000"/>
        </w:rPr>
        <w:t>σύνδεση με τη σχολική πράξη</w:t>
      </w:r>
      <w:r w:rsidRPr="007631A5">
        <w:rPr>
          <w:rStyle w:val="apple-converted-space"/>
          <w:rFonts w:eastAsiaTheme="majorEastAsia"/>
          <w:color w:val="000000"/>
        </w:rPr>
        <w:t> </w:t>
      </w:r>
      <w:r w:rsidRPr="007631A5">
        <w:rPr>
          <w:color w:val="000000"/>
        </w:rPr>
        <w:t>και η</w:t>
      </w:r>
      <w:r w:rsidRPr="007631A5">
        <w:rPr>
          <w:rStyle w:val="apple-converted-space"/>
          <w:rFonts w:eastAsiaTheme="majorEastAsia"/>
          <w:color w:val="000000"/>
        </w:rPr>
        <w:t> </w:t>
      </w:r>
      <w:r w:rsidRPr="007631A5">
        <w:rPr>
          <w:rStyle w:val="ad"/>
          <w:rFonts w:eastAsiaTheme="majorEastAsia"/>
          <w:color w:val="000000"/>
        </w:rPr>
        <w:t>ανατροφοδότηση υψηλής ποιότητας</w:t>
      </w:r>
      <w:r w:rsidRPr="007631A5">
        <w:rPr>
          <w:rStyle w:val="apple-converted-space"/>
          <w:rFonts w:eastAsiaTheme="majorEastAsia"/>
          <w:color w:val="000000"/>
        </w:rPr>
        <w:t> </w:t>
      </w:r>
      <w:r w:rsidRPr="007631A5">
        <w:rPr>
          <w:color w:val="000000"/>
        </w:rPr>
        <w:t>αποτελούν καθοριστικούς παράγοντες επιτυχίας.</w:t>
      </w:r>
    </w:p>
    <w:p w14:paraId="052AF5AD" w14:textId="77777777" w:rsidR="007631A5" w:rsidRPr="007631A5" w:rsidRDefault="007631A5" w:rsidP="007631A5">
      <w:pPr>
        <w:pStyle w:val="Web"/>
        <w:numPr>
          <w:ilvl w:val="0"/>
          <w:numId w:val="9"/>
        </w:numPr>
        <w:spacing w:line="360" w:lineRule="auto"/>
        <w:rPr>
          <w:color w:val="000000"/>
        </w:rPr>
      </w:pPr>
      <w:r w:rsidRPr="007631A5">
        <w:rPr>
          <w:color w:val="000000"/>
        </w:rPr>
        <w:t>Η</w:t>
      </w:r>
      <w:r w:rsidRPr="007631A5">
        <w:rPr>
          <w:rStyle w:val="apple-converted-space"/>
          <w:rFonts w:eastAsiaTheme="majorEastAsia"/>
          <w:color w:val="000000"/>
        </w:rPr>
        <w:t> </w:t>
      </w:r>
      <w:r w:rsidRPr="007631A5">
        <w:rPr>
          <w:rStyle w:val="ad"/>
          <w:rFonts w:eastAsiaTheme="majorEastAsia"/>
          <w:color w:val="000000"/>
        </w:rPr>
        <w:t>σχολική ηγεσία και το θεσμικό πλαίσιο</w:t>
      </w:r>
      <w:r w:rsidRPr="007631A5">
        <w:rPr>
          <w:rStyle w:val="apple-converted-space"/>
          <w:rFonts w:eastAsiaTheme="majorEastAsia"/>
          <w:color w:val="000000"/>
        </w:rPr>
        <w:t> </w:t>
      </w:r>
      <w:r w:rsidRPr="007631A5">
        <w:rPr>
          <w:color w:val="000000"/>
        </w:rPr>
        <w:t>παίζουν κρίσιμο ρόλο: η υποστήριξη, η παροχή χρόνου και η θετική κουλτούρα ενθαρρύνουν την αποτελεσματική επιμόρφωση.</w:t>
      </w:r>
    </w:p>
    <w:p w14:paraId="5C1F9748" w14:textId="77777777" w:rsidR="007631A5" w:rsidRPr="007631A5" w:rsidRDefault="007631A5" w:rsidP="007631A5">
      <w:pPr>
        <w:pStyle w:val="Web"/>
        <w:numPr>
          <w:ilvl w:val="0"/>
          <w:numId w:val="9"/>
        </w:numPr>
        <w:spacing w:line="360" w:lineRule="auto"/>
        <w:rPr>
          <w:color w:val="000000"/>
        </w:rPr>
      </w:pPr>
      <w:r w:rsidRPr="007631A5">
        <w:rPr>
          <w:color w:val="000000"/>
        </w:rPr>
        <w:t>Περιορισμοί στον ελληνικό χώρο:</w:t>
      </w:r>
    </w:p>
    <w:p w14:paraId="42FB9027" w14:textId="77777777" w:rsidR="007631A5" w:rsidRPr="007631A5" w:rsidRDefault="007631A5" w:rsidP="007631A5">
      <w:pPr>
        <w:pStyle w:val="Web"/>
        <w:numPr>
          <w:ilvl w:val="1"/>
          <w:numId w:val="9"/>
        </w:numPr>
        <w:spacing w:line="360" w:lineRule="auto"/>
        <w:rPr>
          <w:color w:val="000000"/>
        </w:rPr>
      </w:pPr>
      <w:r w:rsidRPr="007631A5">
        <w:rPr>
          <w:color w:val="000000"/>
        </w:rPr>
        <w:t>Ανισότητες στην πρόσβαση σε ποιοτικά προγράμματα</w:t>
      </w:r>
    </w:p>
    <w:p w14:paraId="47D610B1" w14:textId="77777777" w:rsidR="007631A5" w:rsidRPr="007631A5" w:rsidRDefault="007631A5" w:rsidP="007631A5">
      <w:pPr>
        <w:pStyle w:val="Web"/>
        <w:numPr>
          <w:ilvl w:val="1"/>
          <w:numId w:val="9"/>
        </w:numPr>
        <w:spacing w:line="360" w:lineRule="auto"/>
        <w:rPr>
          <w:color w:val="000000"/>
        </w:rPr>
      </w:pPr>
      <w:r w:rsidRPr="007631A5">
        <w:rPr>
          <w:color w:val="000000"/>
        </w:rPr>
        <w:t>Έλλειψη θεσμικής συνέχειας</w:t>
      </w:r>
    </w:p>
    <w:p w14:paraId="7A4B3F0C" w14:textId="77777777" w:rsidR="007631A5" w:rsidRPr="007631A5" w:rsidRDefault="007631A5" w:rsidP="007631A5">
      <w:pPr>
        <w:pStyle w:val="Web"/>
        <w:numPr>
          <w:ilvl w:val="1"/>
          <w:numId w:val="9"/>
        </w:numPr>
        <w:spacing w:line="360" w:lineRule="auto"/>
        <w:rPr>
          <w:color w:val="000000"/>
        </w:rPr>
      </w:pPr>
      <w:r w:rsidRPr="007631A5">
        <w:rPr>
          <w:color w:val="000000"/>
        </w:rPr>
        <w:t>Περιορισμένη συστηματική αξιολόγηση των προγραμμάτων</w:t>
      </w:r>
    </w:p>
    <w:p w14:paraId="33BEAD04" w14:textId="77777777" w:rsidR="007631A5" w:rsidRPr="007631A5" w:rsidRDefault="007631A5" w:rsidP="007631A5">
      <w:pPr>
        <w:pStyle w:val="Web"/>
        <w:numPr>
          <w:ilvl w:val="0"/>
          <w:numId w:val="9"/>
        </w:numPr>
        <w:spacing w:line="360" w:lineRule="auto"/>
        <w:rPr>
          <w:color w:val="000000"/>
        </w:rPr>
      </w:pPr>
      <w:r w:rsidRPr="007631A5">
        <w:rPr>
          <w:color w:val="000000"/>
        </w:rPr>
        <w:t>Τα ευρήματα συμφωνούν με θεωρητικά μοντέλα (</w:t>
      </w:r>
      <w:proofErr w:type="spellStart"/>
      <w:r w:rsidRPr="007631A5">
        <w:rPr>
          <w:color w:val="000000"/>
        </w:rPr>
        <w:t>Fullan</w:t>
      </w:r>
      <w:proofErr w:type="spellEnd"/>
      <w:r w:rsidRPr="007631A5">
        <w:rPr>
          <w:color w:val="000000"/>
        </w:rPr>
        <w:t xml:space="preserve">, </w:t>
      </w:r>
      <w:proofErr w:type="spellStart"/>
      <w:r w:rsidRPr="007631A5">
        <w:rPr>
          <w:color w:val="000000"/>
        </w:rPr>
        <w:t>Day</w:t>
      </w:r>
      <w:proofErr w:type="spellEnd"/>
      <w:r w:rsidRPr="007631A5">
        <w:rPr>
          <w:color w:val="000000"/>
        </w:rPr>
        <w:t xml:space="preserve">, </w:t>
      </w:r>
      <w:proofErr w:type="spellStart"/>
      <w:r w:rsidRPr="007631A5">
        <w:rPr>
          <w:color w:val="000000"/>
        </w:rPr>
        <w:t>Guskey</w:t>
      </w:r>
      <w:proofErr w:type="spellEnd"/>
      <w:r w:rsidRPr="007631A5">
        <w:rPr>
          <w:color w:val="000000"/>
        </w:rPr>
        <w:t xml:space="preserve">, </w:t>
      </w:r>
      <w:proofErr w:type="spellStart"/>
      <w:r w:rsidRPr="007631A5">
        <w:rPr>
          <w:color w:val="000000"/>
        </w:rPr>
        <w:t>Darling-Hammond</w:t>
      </w:r>
      <w:proofErr w:type="spellEnd"/>
      <w:r w:rsidRPr="007631A5">
        <w:rPr>
          <w:color w:val="000000"/>
        </w:rPr>
        <w:t>):</w:t>
      </w:r>
    </w:p>
    <w:p w14:paraId="35003D75" w14:textId="77777777" w:rsidR="007631A5" w:rsidRPr="007631A5" w:rsidRDefault="007631A5" w:rsidP="007631A5">
      <w:pPr>
        <w:pStyle w:val="Web"/>
        <w:numPr>
          <w:ilvl w:val="1"/>
          <w:numId w:val="9"/>
        </w:numPr>
        <w:spacing w:line="360" w:lineRule="auto"/>
        <w:rPr>
          <w:color w:val="000000"/>
        </w:rPr>
      </w:pPr>
      <w:r w:rsidRPr="007631A5">
        <w:rPr>
          <w:color w:val="000000"/>
        </w:rPr>
        <w:t xml:space="preserve">Η συνεργασία, ο </w:t>
      </w:r>
      <w:proofErr w:type="spellStart"/>
      <w:r w:rsidRPr="007631A5">
        <w:rPr>
          <w:color w:val="000000"/>
        </w:rPr>
        <w:t>αναστοχασμός</w:t>
      </w:r>
      <w:proofErr w:type="spellEnd"/>
      <w:r w:rsidRPr="007631A5">
        <w:rPr>
          <w:color w:val="000000"/>
        </w:rPr>
        <w:t xml:space="preserve"> και η σύνδεση θεωρίας-πράξης αυξάνουν την </w:t>
      </w:r>
      <w:proofErr w:type="spellStart"/>
      <w:r w:rsidRPr="007631A5">
        <w:rPr>
          <w:color w:val="000000"/>
        </w:rPr>
        <w:t>αυτοαποτελεσματικότητα</w:t>
      </w:r>
      <w:proofErr w:type="spellEnd"/>
      <w:r w:rsidRPr="007631A5">
        <w:rPr>
          <w:color w:val="000000"/>
        </w:rPr>
        <w:t xml:space="preserve"> και την επαγγελματική δέσμευση.</w:t>
      </w:r>
    </w:p>
    <w:p w14:paraId="65428486" w14:textId="77777777" w:rsidR="007631A5" w:rsidRPr="007631A5" w:rsidRDefault="007631A5" w:rsidP="007631A5">
      <w:pPr>
        <w:pStyle w:val="Web"/>
        <w:numPr>
          <w:ilvl w:val="0"/>
          <w:numId w:val="9"/>
        </w:numPr>
        <w:spacing w:line="360" w:lineRule="auto"/>
        <w:rPr>
          <w:color w:val="000000"/>
        </w:rPr>
      </w:pPr>
      <w:r w:rsidRPr="007631A5">
        <w:rPr>
          <w:color w:val="000000"/>
        </w:rPr>
        <w:t>Θεωρητικά/μεθοδολογικά κενά:</w:t>
      </w:r>
    </w:p>
    <w:p w14:paraId="43E2EC69" w14:textId="77777777" w:rsidR="007631A5" w:rsidRPr="007631A5" w:rsidRDefault="007631A5" w:rsidP="007631A5">
      <w:pPr>
        <w:pStyle w:val="Web"/>
        <w:numPr>
          <w:ilvl w:val="1"/>
          <w:numId w:val="9"/>
        </w:numPr>
        <w:spacing w:line="360" w:lineRule="auto"/>
        <w:rPr>
          <w:color w:val="000000"/>
        </w:rPr>
      </w:pPr>
      <w:r w:rsidRPr="007631A5">
        <w:rPr>
          <w:color w:val="000000"/>
        </w:rPr>
        <w:t>Έλλειψη μακροχρόνιων μελετών για την επίδραση της επιμόρφωσης στην αυτορρύθμιση</w:t>
      </w:r>
    </w:p>
    <w:p w14:paraId="739448EA" w14:textId="77777777" w:rsidR="007631A5" w:rsidRPr="007631A5" w:rsidRDefault="007631A5" w:rsidP="007631A5">
      <w:pPr>
        <w:pStyle w:val="Web"/>
        <w:numPr>
          <w:ilvl w:val="1"/>
          <w:numId w:val="9"/>
        </w:numPr>
        <w:spacing w:line="360" w:lineRule="auto"/>
        <w:rPr>
          <w:color w:val="000000"/>
        </w:rPr>
      </w:pPr>
      <w:r w:rsidRPr="007631A5">
        <w:rPr>
          <w:color w:val="000000"/>
        </w:rPr>
        <w:t>Περιορισμένη σύνδεση με</w:t>
      </w:r>
      <w:r w:rsidRPr="007631A5">
        <w:rPr>
          <w:rStyle w:val="apple-converted-space"/>
          <w:rFonts w:eastAsiaTheme="majorEastAsia"/>
          <w:color w:val="000000"/>
        </w:rPr>
        <w:t> </w:t>
      </w:r>
      <w:r w:rsidRPr="007631A5">
        <w:rPr>
          <w:rStyle w:val="ad"/>
          <w:rFonts w:eastAsiaTheme="majorEastAsia"/>
          <w:color w:val="000000"/>
        </w:rPr>
        <w:t>μαθησιακά αποτελέσματα των μαθητών</w:t>
      </w:r>
    </w:p>
    <w:p w14:paraId="1ABE31DF" w14:textId="77777777" w:rsidR="007631A5" w:rsidRPr="007631A5" w:rsidRDefault="007631A5" w:rsidP="007631A5">
      <w:pPr>
        <w:pStyle w:val="Web"/>
        <w:numPr>
          <w:ilvl w:val="1"/>
          <w:numId w:val="9"/>
        </w:numPr>
        <w:spacing w:line="360" w:lineRule="auto"/>
        <w:rPr>
          <w:color w:val="000000"/>
        </w:rPr>
      </w:pPr>
      <w:r w:rsidRPr="007631A5">
        <w:rPr>
          <w:color w:val="000000"/>
        </w:rPr>
        <w:t xml:space="preserve">Ανεπαρκής χρήση έγκυρων εργαλείων μέτρησης </w:t>
      </w:r>
      <w:proofErr w:type="spellStart"/>
      <w:r w:rsidRPr="007631A5">
        <w:rPr>
          <w:color w:val="000000"/>
        </w:rPr>
        <w:t>μεταγνωστικών</w:t>
      </w:r>
      <w:proofErr w:type="spellEnd"/>
      <w:r w:rsidRPr="007631A5">
        <w:rPr>
          <w:color w:val="000000"/>
        </w:rPr>
        <w:t xml:space="preserve"> στρατηγικών</w:t>
      </w:r>
    </w:p>
    <w:p w14:paraId="0D8BEB0B" w14:textId="77777777" w:rsidR="007631A5" w:rsidRPr="007631A5" w:rsidRDefault="007631A5" w:rsidP="007631A5">
      <w:pPr>
        <w:pStyle w:val="Web"/>
        <w:numPr>
          <w:ilvl w:val="0"/>
          <w:numId w:val="9"/>
        </w:numPr>
        <w:spacing w:line="360" w:lineRule="auto"/>
        <w:rPr>
          <w:color w:val="000000"/>
        </w:rPr>
      </w:pPr>
      <w:r w:rsidRPr="007631A5">
        <w:rPr>
          <w:color w:val="000000"/>
        </w:rPr>
        <w:t>Συμπεράσματα:</w:t>
      </w:r>
    </w:p>
    <w:p w14:paraId="4BC4ACDC" w14:textId="77777777" w:rsidR="007631A5" w:rsidRPr="007631A5" w:rsidRDefault="007631A5" w:rsidP="007631A5">
      <w:pPr>
        <w:pStyle w:val="Web"/>
        <w:numPr>
          <w:ilvl w:val="1"/>
          <w:numId w:val="9"/>
        </w:numPr>
        <w:spacing w:line="360" w:lineRule="auto"/>
        <w:rPr>
          <w:color w:val="000000"/>
        </w:rPr>
      </w:pPr>
      <w:r w:rsidRPr="007631A5">
        <w:rPr>
          <w:color w:val="000000"/>
        </w:rPr>
        <w:lastRenderedPageBreak/>
        <w:t>Η επιμόρφωση πρέπει να είναι</w:t>
      </w:r>
      <w:r w:rsidRPr="007631A5">
        <w:rPr>
          <w:rStyle w:val="apple-converted-space"/>
          <w:rFonts w:eastAsiaTheme="majorEastAsia"/>
          <w:color w:val="000000"/>
        </w:rPr>
        <w:t> </w:t>
      </w:r>
      <w:r w:rsidRPr="007631A5">
        <w:rPr>
          <w:rStyle w:val="ad"/>
          <w:rFonts w:eastAsiaTheme="majorEastAsia"/>
          <w:color w:val="000000"/>
        </w:rPr>
        <w:t>συστηματική, βιωματική και συνεργατική</w:t>
      </w:r>
    </w:p>
    <w:p w14:paraId="53283FAC" w14:textId="77777777" w:rsidR="007631A5" w:rsidRPr="007631A5" w:rsidRDefault="007631A5" w:rsidP="007631A5">
      <w:pPr>
        <w:pStyle w:val="Web"/>
        <w:numPr>
          <w:ilvl w:val="1"/>
          <w:numId w:val="9"/>
        </w:numPr>
        <w:spacing w:line="360" w:lineRule="auto"/>
        <w:rPr>
          <w:color w:val="000000"/>
        </w:rPr>
      </w:pPr>
      <w:r w:rsidRPr="007631A5">
        <w:rPr>
          <w:color w:val="000000"/>
        </w:rPr>
        <w:t>Υποστήριξη σχολικής ηγεσίας και θεσμικό πλαίσιο είναι απαραίτητα</w:t>
      </w:r>
    </w:p>
    <w:p w14:paraId="4A1F9BD3" w14:textId="77777777" w:rsidR="007631A5" w:rsidRPr="007631A5" w:rsidRDefault="007631A5" w:rsidP="007631A5">
      <w:pPr>
        <w:pStyle w:val="Web"/>
        <w:numPr>
          <w:ilvl w:val="1"/>
          <w:numId w:val="9"/>
        </w:numPr>
        <w:spacing w:line="360" w:lineRule="auto"/>
        <w:rPr>
          <w:color w:val="000000"/>
        </w:rPr>
      </w:pPr>
      <w:r w:rsidRPr="007631A5">
        <w:rPr>
          <w:color w:val="000000"/>
        </w:rPr>
        <w:t>Η δημιουργία και η στήριξη</w:t>
      </w:r>
      <w:r w:rsidRPr="007631A5">
        <w:rPr>
          <w:rStyle w:val="apple-converted-space"/>
          <w:rFonts w:eastAsiaTheme="majorEastAsia"/>
          <w:color w:val="000000"/>
        </w:rPr>
        <w:t> </w:t>
      </w:r>
      <w:r w:rsidRPr="007631A5">
        <w:rPr>
          <w:rStyle w:val="ad"/>
          <w:rFonts w:eastAsiaTheme="majorEastAsia"/>
          <w:color w:val="000000"/>
        </w:rPr>
        <w:t>κοινοτήτων μάθησης</w:t>
      </w:r>
      <w:r w:rsidRPr="007631A5">
        <w:rPr>
          <w:rStyle w:val="apple-converted-space"/>
          <w:rFonts w:eastAsiaTheme="majorEastAsia"/>
          <w:color w:val="000000"/>
        </w:rPr>
        <w:t> </w:t>
      </w:r>
      <w:r w:rsidRPr="007631A5">
        <w:rPr>
          <w:color w:val="000000"/>
        </w:rPr>
        <w:t xml:space="preserve">ενισχύουν αυτορρύθμιση, </w:t>
      </w:r>
      <w:proofErr w:type="spellStart"/>
      <w:r w:rsidRPr="007631A5">
        <w:rPr>
          <w:color w:val="000000"/>
        </w:rPr>
        <w:t>αυτοαποτελεσματικότητα</w:t>
      </w:r>
      <w:proofErr w:type="spellEnd"/>
      <w:r w:rsidRPr="007631A5">
        <w:rPr>
          <w:color w:val="000000"/>
        </w:rPr>
        <w:t xml:space="preserve"> και επαγγελματική ανάπτυξη</w:t>
      </w:r>
    </w:p>
    <w:p w14:paraId="39A9CE89" w14:textId="77777777" w:rsidR="007631A5" w:rsidRPr="007631A5" w:rsidRDefault="007631A5" w:rsidP="007631A5">
      <w:pPr>
        <w:pStyle w:val="Web"/>
        <w:numPr>
          <w:ilvl w:val="1"/>
          <w:numId w:val="9"/>
        </w:numPr>
        <w:spacing w:line="360" w:lineRule="auto"/>
        <w:rPr>
          <w:color w:val="000000"/>
        </w:rPr>
      </w:pPr>
      <w:r w:rsidRPr="007631A5">
        <w:rPr>
          <w:color w:val="000000"/>
        </w:rPr>
        <w:t>Μακροπρόθεσμα, η επιμόρφωση οδηγεί σε</w:t>
      </w:r>
      <w:r w:rsidRPr="007631A5">
        <w:rPr>
          <w:rStyle w:val="apple-converted-space"/>
          <w:rFonts w:eastAsiaTheme="majorEastAsia"/>
          <w:color w:val="000000"/>
        </w:rPr>
        <w:t> </w:t>
      </w:r>
      <w:r w:rsidRPr="007631A5">
        <w:rPr>
          <w:rStyle w:val="ad"/>
          <w:rFonts w:eastAsiaTheme="majorEastAsia"/>
          <w:color w:val="000000"/>
        </w:rPr>
        <w:t>βελτίωση διδασκαλίας</w:t>
      </w:r>
      <w:r w:rsidRPr="007631A5">
        <w:rPr>
          <w:rStyle w:val="apple-converted-space"/>
          <w:rFonts w:eastAsiaTheme="majorEastAsia"/>
          <w:color w:val="000000"/>
        </w:rPr>
        <w:t> </w:t>
      </w:r>
      <w:r w:rsidRPr="007631A5">
        <w:rPr>
          <w:color w:val="000000"/>
        </w:rPr>
        <w:t>και</w:t>
      </w:r>
      <w:r w:rsidRPr="007631A5">
        <w:rPr>
          <w:rStyle w:val="apple-converted-space"/>
          <w:rFonts w:eastAsiaTheme="majorEastAsia"/>
          <w:color w:val="000000"/>
        </w:rPr>
        <w:t> </w:t>
      </w:r>
      <w:r w:rsidRPr="007631A5">
        <w:rPr>
          <w:rStyle w:val="ad"/>
          <w:rFonts w:eastAsiaTheme="majorEastAsia"/>
          <w:color w:val="000000"/>
        </w:rPr>
        <w:t>μαθησιακής εμπειρίας των μαθητών</w:t>
      </w:r>
    </w:p>
    <w:p w14:paraId="354D2B4A" w14:textId="77777777" w:rsidR="007631A5" w:rsidRPr="00CC6FBE" w:rsidRDefault="007631A5">
      <w:pPr>
        <w:rPr>
          <w:rFonts w:ascii="Calibri" w:hAnsi="Calibri" w:cs="Calibri"/>
        </w:rPr>
      </w:pPr>
    </w:p>
    <w:sectPr w:rsidR="007631A5" w:rsidRPr="00CC6FB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1AA4" w14:textId="77777777" w:rsidR="00A60A2D" w:rsidRDefault="00A60A2D" w:rsidP="00CC6FBE">
      <w:r>
        <w:separator/>
      </w:r>
    </w:p>
  </w:endnote>
  <w:endnote w:type="continuationSeparator" w:id="0">
    <w:p w14:paraId="0DE0D968" w14:textId="77777777" w:rsidR="00A60A2D" w:rsidRDefault="00A60A2D" w:rsidP="00CC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320B" w14:textId="77777777" w:rsidR="00A60A2D" w:rsidRDefault="00A60A2D" w:rsidP="00CC6FBE">
      <w:r>
        <w:separator/>
      </w:r>
    </w:p>
  </w:footnote>
  <w:footnote w:type="continuationSeparator" w:id="0">
    <w:p w14:paraId="32520702" w14:textId="77777777" w:rsidR="00A60A2D" w:rsidRDefault="00A60A2D" w:rsidP="00CC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9F4F" w14:textId="66141EF8" w:rsidR="00CC6FBE" w:rsidRDefault="00CC6FBE">
    <w:pPr>
      <w:pStyle w:val="aa"/>
    </w:pPr>
    <w:r>
      <w:t>Πραμπρόμη Ευθυμ</w:t>
    </w:r>
    <w:r w:rsidR="006A2BA8">
      <w:t>ία</w:t>
    </w:r>
    <w:r>
      <w:t xml:space="preserve"> 1036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F5A"/>
    <w:multiLevelType w:val="multilevel"/>
    <w:tmpl w:val="950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967A8"/>
    <w:multiLevelType w:val="multilevel"/>
    <w:tmpl w:val="BA724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96EDC"/>
    <w:multiLevelType w:val="multilevel"/>
    <w:tmpl w:val="64A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06122"/>
    <w:multiLevelType w:val="hybridMultilevel"/>
    <w:tmpl w:val="7220C9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9E02DE"/>
    <w:multiLevelType w:val="multilevel"/>
    <w:tmpl w:val="754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E4CDF"/>
    <w:multiLevelType w:val="multilevel"/>
    <w:tmpl w:val="81D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E4B18"/>
    <w:multiLevelType w:val="multilevel"/>
    <w:tmpl w:val="4C76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7E4738"/>
    <w:multiLevelType w:val="multilevel"/>
    <w:tmpl w:val="2F7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323D6"/>
    <w:multiLevelType w:val="multilevel"/>
    <w:tmpl w:val="FEC6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6431">
    <w:abstractNumId w:val="7"/>
  </w:num>
  <w:num w:numId="2" w16cid:durableId="1103457721">
    <w:abstractNumId w:val="6"/>
  </w:num>
  <w:num w:numId="3" w16cid:durableId="1810441478">
    <w:abstractNumId w:val="0"/>
  </w:num>
  <w:num w:numId="4" w16cid:durableId="702052688">
    <w:abstractNumId w:val="8"/>
  </w:num>
  <w:num w:numId="5" w16cid:durableId="1050424508">
    <w:abstractNumId w:val="2"/>
  </w:num>
  <w:num w:numId="6" w16cid:durableId="217667057">
    <w:abstractNumId w:val="5"/>
  </w:num>
  <w:num w:numId="7" w16cid:durableId="1330065216">
    <w:abstractNumId w:val="4"/>
  </w:num>
  <w:num w:numId="8" w16cid:durableId="310017667">
    <w:abstractNumId w:val="3"/>
  </w:num>
  <w:num w:numId="9" w16cid:durableId="211763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BE"/>
    <w:rsid w:val="00126D40"/>
    <w:rsid w:val="00152782"/>
    <w:rsid w:val="002B2CF2"/>
    <w:rsid w:val="004A7243"/>
    <w:rsid w:val="005D1565"/>
    <w:rsid w:val="006A2BA8"/>
    <w:rsid w:val="007631A5"/>
    <w:rsid w:val="008465DF"/>
    <w:rsid w:val="00865673"/>
    <w:rsid w:val="00A60A2D"/>
    <w:rsid w:val="00BB6ED1"/>
    <w:rsid w:val="00CC6F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6159"/>
  <w15:chartTrackingRefBased/>
  <w15:docId w15:val="{6516C5FE-8D81-A541-9487-A1B0A280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C6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C6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6F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6F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6F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6F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6F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6FB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6F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6F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C6F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6F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6F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6F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6F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6F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6F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6FBE"/>
    <w:rPr>
      <w:rFonts w:eastAsiaTheme="majorEastAsia" w:cstheme="majorBidi"/>
      <w:color w:val="272727" w:themeColor="text1" w:themeTint="D8"/>
    </w:rPr>
  </w:style>
  <w:style w:type="paragraph" w:styleId="a3">
    <w:name w:val="Title"/>
    <w:basedOn w:val="a"/>
    <w:next w:val="a"/>
    <w:link w:val="Char"/>
    <w:uiPriority w:val="10"/>
    <w:qFormat/>
    <w:rsid w:val="00CC6FB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6F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6FB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6F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6FBE"/>
    <w:pPr>
      <w:spacing w:before="160" w:after="160"/>
      <w:jc w:val="center"/>
    </w:pPr>
    <w:rPr>
      <w:i/>
      <w:iCs/>
      <w:color w:val="404040" w:themeColor="text1" w:themeTint="BF"/>
    </w:rPr>
  </w:style>
  <w:style w:type="character" w:customStyle="1" w:styleId="Char1">
    <w:name w:val="Απόσπασμα Char"/>
    <w:basedOn w:val="a0"/>
    <w:link w:val="a5"/>
    <w:uiPriority w:val="29"/>
    <w:rsid w:val="00CC6FBE"/>
    <w:rPr>
      <w:i/>
      <w:iCs/>
      <w:color w:val="404040" w:themeColor="text1" w:themeTint="BF"/>
    </w:rPr>
  </w:style>
  <w:style w:type="paragraph" w:styleId="a6">
    <w:name w:val="List Paragraph"/>
    <w:basedOn w:val="a"/>
    <w:uiPriority w:val="34"/>
    <w:qFormat/>
    <w:rsid w:val="00CC6FBE"/>
    <w:pPr>
      <w:ind w:left="720"/>
      <w:contextualSpacing/>
    </w:pPr>
  </w:style>
  <w:style w:type="character" w:styleId="a7">
    <w:name w:val="Intense Emphasis"/>
    <w:basedOn w:val="a0"/>
    <w:uiPriority w:val="21"/>
    <w:qFormat/>
    <w:rsid w:val="00CC6FBE"/>
    <w:rPr>
      <w:i/>
      <w:iCs/>
      <w:color w:val="0F4761" w:themeColor="accent1" w:themeShade="BF"/>
    </w:rPr>
  </w:style>
  <w:style w:type="paragraph" w:styleId="a8">
    <w:name w:val="Intense Quote"/>
    <w:basedOn w:val="a"/>
    <w:next w:val="a"/>
    <w:link w:val="Char2"/>
    <w:uiPriority w:val="30"/>
    <w:qFormat/>
    <w:rsid w:val="00CC6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6FBE"/>
    <w:rPr>
      <w:i/>
      <w:iCs/>
      <w:color w:val="0F4761" w:themeColor="accent1" w:themeShade="BF"/>
    </w:rPr>
  </w:style>
  <w:style w:type="character" w:styleId="a9">
    <w:name w:val="Intense Reference"/>
    <w:basedOn w:val="a0"/>
    <w:uiPriority w:val="32"/>
    <w:qFormat/>
    <w:rsid w:val="00CC6FBE"/>
    <w:rPr>
      <w:b/>
      <w:bCs/>
      <w:smallCaps/>
      <w:color w:val="0F4761" w:themeColor="accent1" w:themeShade="BF"/>
      <w:spacing w:val="5"/>
    </w:rPr>
  </w:style>
  <w:style w:type="paragraph" w:styleId="aa">
    <w:name w:val="header"/>
    <w:basedOn w:val="a"/>
    <w:link w:val="Char3"/>
    <w:uiPriority w:val="99"/>
    <w:unhideWhenUsed/>
    <w:rsid w:val="00CC6FBE"/>
    <w:pPr>
      <w:tabs>
        <w:tab w:val="center" w:pos="4153"/>
        <w:tab w:val="right" w:pos="8306"/>
      </w:tabs>
    </w:pPr>
  </w:style>
  <w:style w:type="character" w:customStyle="1" w:styleId="Char3">
    <w:name w:val="Κεφαλίδα Char"/>
    <w:basedOn w:val="a0"/>
    <w:link w:val="aa"/>
    <w:uiPriority w:val="99"/>
    <w:rsid w:val="00CC6FBE"/>
  </w:style>
  <w:style w:type="paragraph" w:styleId="ab">
    <w:name w:val="footer"/>
    <w:basedOn w:val="a"/>
    <w:link w:val="Char4"/>
    <w:uiPriority w:val="99"/>
    <w:unhideWhenUsed/>
    <w:rsid w:val="00CC6FBE"/>
    <w:pPr>
      <w:tabs>
        <w:tab w:val="center" w:pos="4153"/>
        <w:tab w:val="right" w:pos="8306"/>
      </w:tabs>
    </w:pPr>
  </w:style>
  <w:style w:type="character" w:customStyle="1" w:styleId="Char4">
    <w:name w:val="Υποσέλιδο Char"/>
    <w:basedOn w:val="a0"/>
    <w:link w:val="ab"/>
    <w:uiPriority w:val="99"/>
    <w:rsid w:val="00CC6FBE"/>
  </w:style>
  <w:style w:type="table" w:styleId="ac">
    <w:name w:val="Table Grid"/>
    <w:basedOn w:val="a1"/>
    <w:uiPriority w:val="39"/>
    <w:rsid w:val="0084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31A5"/>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7631A5"/>
  </w:style>
  <w:style w:type="character" w:styleId="ad">
    <w:name w:val="Strong"/>
    <w:basedOn w:val="a0"/>
    <w:uiPriority w:val="22"/>
    <w:qFormat/>
    <w:rsid w:val="00763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2052</Words>
  <Characters>11084</Characters>
  <Application>Microsoft Office Word</Application>
  <DocSecurity>0</DocSecurity>
  <Lines>92</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Ευθυμία Πραμπρόμη</dc:creator>
  <cp:keywords/>
  <dc:description/>
  <cp:lastModifiedBy>Ευθυμία Πραμπρόμη</cp:lastModifiedBy>
  <cp:revision>7</cp:revision>
  <dcterms:created xsi:type="dcterms:W3CDTF">2025-11-12T18:17:00Z</dcterms:created>
  <dcterms:modified xsi:type="dcterms:W3CDTF">2026-01-16T19:46:00Z</dcterms:modified>
</cp:coreProperties>
</file>