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3E1B9" w14:textId="4B3EED17" w:rsidR="00915A06" w:rsidRDefault="00915A06" w:rsidP="00915A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Πραμπρόμη Ευθυμία 1036 </w:t>
      </w:r>
    </w:p>
    <w:p w14:paraId="43747F23" w14:textId="033ADD4C" w:rsidR="00173B03" w:rsidRPr="00173B03" w:rsidRDefault="00173B03" w:rsidP="00915A06">
      <w:pPr>
        <w:spacing w:line="360" w:lineRule="auto"/>
        <w:jc w:val="both"/>
        <w:rPr>
          <w:rFonts w:asciiTheme="majorHAnsi" w:hAnsiTheme="majorHAnsi" w:cs="Times New Roman"/>
          <w:b/>
          <w:bCs/>
          <w:sz w:val="24"/>
          <w:szCs w:val="24"/>
        </w:rPr>
      </w:pPr>
      <w:r w:rsidRPr="00173B03">
        <w:rPr>
          <w:rFonts w:asciiTheme="majorHAnsi" w:hAnsiTheme="majorHAnsi" w:cs="Times New Roman"/>
          <w:b/>
          <w:bCs/>
          <w:sz w:val="24"/>
          <w:szCs w:val="24"/>
        </w:rPr>
        <w:t xml:space="preserve">3. Μεθοδολογία της </w:t>
      </w:r>
      <w:proofErr w:type="spellStart"/>
      <w:r w:rsidRPr="00173B03">
        <w:rPr>
          <w:rFonts w:asciiTheme="majorHAnsi" w:hAnsiTheme="majorHAnsi" w:cs="Times New Roman"/>
          <w:b/>
          <w:bCs/>
          <w:sz w:val="24"/>
          <w:szCs w:val="24"/>
        </w:rPr>
        <w:t>μετα</w:t>
      </w:r>
      <w:proofErr w:type="spellEnd"/>
      <w:r w:rsidRPr="00173B03">
        <w:rPr>
          <w:rFonts w:asciiTheme="majorHAnsi" w:hAnsiTheme="majorHAnsi" w:cs="Times New Roman"/>
          <w:b/>
          <w:bCs/>
          <w:sz w:val="24"/>
          <w:szCs w:val="24"/>
        </w:rPr>
        <w:t>-ανάλυσης</w:t>
      </w:r>
    </w:p>
    <w:tbl>
      <w:tblPr>
        <w:tblStyle w:val="aa"/>
        <w:tblW w:w="0" w:type="auto"/>
        <w:tblLook w:val="04A0" w:firstRow="1" w:lastRow="0" w:firstColumn="1" w:lastColumn="0" w:noHBand="0" w:noVBand="1"/>
      </w:tblPr>
      <w:tblGrid>
        <w:gridCol w:w="8296"/>
      </w:tblGrid>
      <w:tr w:rsidR="00915A06" w:rsidRPr="00915A06" w14:paraId="2E60EC21" w14:textId="77777777" w:rsidTr="00915A06">
        <w:tc>
          <w:tcPr>
            <w:tcW w:w="8296" w:type="dxa"/>
          </w:tcPr>
          <w:p w14:paraId="2193639B" w14:textId="77777777" w:rsidR="00915A06" w:rsidRPr="00915A06" w:rsidRDefault="00915A06" w:rsidP="006D1FFB">
            <w:pPr>
              <w:rPr>
                <w:b/>
                <w:bCs/>
              </w:rPr>
            </w:pPr>
            <w:r w:rsidRPr="00915A06">
              <w:rPr>
                <w:b/>
                <w:bCs/>
              </w:rPr>
              <w:t xml:space="preserve">3.1 Τύπος έρευνας και σκοπιμότητα        </w:t>
            </w:r>
          </w:p>
        </w:tc>
      </w:tr>
      <w:tr w:rsidR="00915A06" w:rsidRPr="00915A06" w14:paraId="1EBC1CFA" w14:textId="77777777" w:rsidTr="00915A06">
        <w:tc>
          <w:tcPr>
            <w:tcW w:w="8296" w:type="dxa"/>
          </w:tcPr>
          <w:p w14:paraId="574F7804" w14:textId="77777777" w:rsidR="00915A06" w:rsidRPr="00915A06" w:rsidRDefault="00915A06" w:rsidP="006D1FFB">
            <w:r w:rsidRPr="00915A06">
              <w:t xml:space="preserve">• Χρήση συστηματικής βιβλιογραφικής </w:t>
            </w:r>
            <w:proofErr w:type="spellStart"/>
            <w:r w:rsidRPr="00915A06">
              <w:t>μετα</w:t>
            </w:r>
            <w:proofErr w:type="spellEnd"/>
            <w:r w:rsidRPr="00915A06">
              <w:t>-ανάλυσης.</w:t>
            </w:r>
            <w:r w:rsidRPr="00915A06">
              <w:t xml:space="preserve"> </w:t>
            </w:r>
          </w:p>
        </w:tc>
      </w:tr>
      <w:tr w:rsidR="00915A06" w:rsidRPr="00915A06" w14:paraId="58AE67F5" w14:textId="77777777" w:rsidTr="00915A06">
        <w:tc>
          <w:tcPr>
            <w:tcW w:w="8296" w:type="dxa"/>
          </w:tcPr>
          <w:p w14:paraId="31B06F66" w14:textId="77777777" w:rsidR="00915A06" w:rsidRPr="00915A06" w:rsidRDefault="00915A06" w:rsidP="006D1FFB">
            <w:r w:rsidRPr="00915A06">
              <w:t xml:space="preserve">• Στόχος: διερεύνηση του πώς η επιμόρφωση επηρεάζει ενδυνάμωση, αυτορρύθμιση, </w:t>
            </w:r>
            <w:proofErr w:type="spellStart"/>
            <w:r w:rsidRPr="00915A06">
              <w:t>αυτοαποτελεσματικότητα</w:t>
            </w:r>
            <w:proofErr w:type="spellEnd"/>
            <w:r w:rsidRPr="00915A06">
              <w:t xml:space="preserve"> εκπαιδευτικών.</w:t>
            </w:r>
            <w:r w:rsidRPr="00915A06">
              <w:t xml:space="preserve"> </w:t>
            </w:r>
          </w:p>
        </w:tc>
      </w:tr>
      <w:tr w:rsidR="00915A06" w:rsidRPr="00915A06" w14:paraId="138B3F04" w14:textId="77777777" w:rsidTr="00915A06">
        <w:tc>
          <w:tcPr>
            <w:tcW w:w="8296" w:type="dxa"/>
          </w:tcPr>
          <w:p w14:paraId="35D6FBEB" w14:textId="77777777" w:rsidR="00915A06" w:rsidRPr="00915A06" w:rsidRDefault="00915A06" w:rsidP="006D1FFB">
            <w:r w:rsidRPr="00915A06">
              <w:t>• Επιλέχθηκε λόγω πλήθους και ετερογένειας μελετών.</w:t>
            </w:r>
            <w:r w:rsidRPr="00915A06">
              <w:t xml:space="preserve"> </w:t>
            </w:r>
          </w:p>
        </w:tc>
      </w:tr>
      <w:tr w:rsidR="00915A06" w:rsidRPr="00915A06" w14:paraId="0E753706" w14:textId="77777777" w:rsidTr="00915A06">
        <w:tc>
          <w:tcPr>
            <w:tcW w:w="8296" w:type="dxa"/>
          </w:tcPr>
          <w:p w14:paraId="5FFD2B5B" w14:textId="77777777" w:rsidR="00915A06" w:rsidRPr="00915A06" w:rsidRDefault="00915A06" w:rsidP="006D1FFB">
            <w:r w:rsidRPr="00915A06">
              <w:t xml:space="preserve">• Εξασφαλίζει συστηματικότητα, διαφάνεια και σύνθεση ευρημάτων.                              </w:t>
            </w:r>
          </w:p>
        </w:tc>
      </w:tr>
    </w:tbl>
    <w:p w14:paraId="50179D61" w14:textId="77777777" w:rsidR="00915A06" w:rsidRDefault="00915A06" w:rsidP="00915A06"/>
    <w:tbl>
      <w:tblPr>
        <w:tblStyle w:val="aa"/>
        <w:tblW w:w="0" w:type="auto"/>
        <w:tblLook w:val="04A0" w:firstRow="1" w:lastRow="0" w:firstColumn="1" w:lastColumn="0" w:noHBand="0" w:noVBand="1"/>
      </w:tblPr>
      <w:tblGrid>
        <w:gridCol w:w="8296"/>
      </w:tblGrid>
      <w:tr w:rsidR="00915A06" w:rsidRPr="00915A06" w14:paraId="2FD3B31C" w14:textId="77777777">
        <w:tc>
          <w:tcPr>
            <w:tcW w:w="8296" w:type="dxa"/>
          </w:tcPr>
          <w:p w14:paraId="6BFEFA42" w14:textId="77777777" w:rsidR="00915A06" w:rsidRPr="00915A06" w:rsidRDefault="00915A06" w:rsidP="004757C5">
            <w:pPr>
              <w:rPr>
                <w:b/>
                <w:bCs/>
              </w:rPr>
            </w:pPr>
            <w:r w:rsidRPr="00915A06">
              <w:rPr>
                <w:b/>
                <w:bCs/>
              </w:rPr>
              <w:t>3.2 Κριτήρια επιλογής των μελετώ</w:t>
            </w:r>
            <w:r w:rsidRPr="00915A06">
              <w:rPr>
                <w:b/>
                <w:bCs/>
              </w:rPr>
              <w:t>ν</w:t>
            </w:r>
            <w:r w:rsidRPr="00915A06">
              <w:rPr>
                <w:b/>
                <w:bCs/>
              </w:rPr>
              <w:t xml:space="preserve">       </w:t>
            </w:r>
          </w:p>
        </w:tc>
      </w:tr>
      <w:tr w:rsidR="00915A06" w:rsidRPr="00915A06" w14:paraId="59999779" w14:textId="77777777">
        <w:tc>
          <w:tcPr>
            <w:tcW w:w="8296" w:type="dxa"/>
          </w:tcPr>
          <w:p w14:paraId="678AF9AF" w14:textId="77777777" w:rsidR="00915A06" w:rsidRPr="00915A06" w:rsidRDefault="00915A06" w:rsidP="004757C5">
            <w:r w:rsidRPr="00915A06">
              <w:t xml:space="preserve">• Αφορούν επιμόρφωση, επαγγελματική ανάπτυξη, αυτορρύθμιση, </w:t>
            </w:r>
            <w:proofErr w:type="spellStart"/>
            <w:r w:rsidRPr="00915A06">
              <w:t>αναστοχασμό</w:t>
            </w:r>
            <w:proofErr w:type="spellEnd"/>
            <w:r w:rsidRPr="00915A06">
              <w:t xml:space="preserve">, </w:t>
            </w:r>
            <w:proofErr w:type="spellStart"/>
            <w:r w:rsidRPr="00915A06">
              <w:t>αυτοαποτελεσματικότητα</w:t>
            </w:r>
            <w:proofErr w:type="spellEnd"/>
            <w:r w:rsidRPr="00915A06">
              <w:t xml:space="preserve">. </w:t>
            </w:r>
          </w:p>
        </w:tc>
      </w:tr>
      <w:tr w:rsidR="00915A06" w:rsidRPr="00915A06" w14:paraId="77760E1F" w14:textId="77777777">
        <w:tc>
          <w:tcPr>
            <w:tcW w:w="8296" w:type="dxa"/>
          </w:tcPr>
          <w:p w14:paraId="7454E22F" w14:textId="77777777" w:rsidR="00915A06" w:rsidRPr="00915A06" w:rsidRDefault="00915A06" w:rsidP="004757C5">
            <w:r w:rsidRPr="00915A06">
              <w:t xml:space="preserve">• Περιλήφθηκαν ποιοτικές, ποσοτικές, μικτές, δευτερογενείς αναλύσεις και διατριβές. </w:t>
            </w:r>
          </w:p>
        </w:tc>
      </w:tr>
      <w:tr w:rsidR="00915A06" w:rsidRPr="00915A06" w14:paraId="73186C7A" w14:textId="77777777">
        <w:tc>
          <w:tcPr>
            <w:tcW w:w="8296" w:type="dxa"/>
          </w:tcPr>
          <w:p w14:paraId="0708AE6E" w14:textId="2C0570DC" w:rsidR="00915A06" w:rsidRPr="00915A06" w:rsidRDefault="00915A06" w:rsidP="004757C5">
            <w:r w:rsidRPr="00915A06">
              <w:t>• Χρονικό εύρος: 2010–202</w:t>
            </w:r>
            <w:r>
              <w:t>5</w:t>
            </w:r>
            <w:r w:rsidRPr="00915A06">
              <w:t xml:space="preserve"> (και ορισμένες θεμελιώδεις παλαιότερες). </w:t>
            </w:r>
          </w:p>
        </w:tc>
      </w:tr>
      <w:tr w:rsidR="00915A06" w:rsidRPr="00915A06" w14:paraId="134AC389" w14:textId="77777777">
        <w:tc>
          <w:tcPr>
            <w:tcW w:w="8296" w:type="dxa"/>
          </w:tcPr>
          <w:p w14:paraId="0B067F35" w14:textId="77777777" w:rsidR="00915A06" w:rsidRPr="00915A06" w:rsidRDefault="00915A06" w:rsidP="004757C5">
            <w:r w:rsidRPr="00915A06">
              <w:t>• Στόχος πληθυσμού: εκπαιδευτικοί Πρωτοβάθμιας &amp; Δευτεροβάθμιας.</w:t>
            </w:r>
          </w:p>
        </w:tc>
      </w:tr>
    </w:tbl>
    <w:p w14:paraId="18D00266" w14:textId="77777777" w:rsidR="00915A06" w:rsidRDefault="00915A06" w:rsidP="00915A06"/>
    <w:tbl>
      <w:tblPr>
        <w:tblStyle w:val="aa"/>
        <w:tblW w:w="0" w:type="auto"/>
        <w:tblLook w:val="04A0" w:firstRow="1" w:lastRow="0" w:firstColumn="1" w:lastColumn="0" w:noHBand="0" w:noVBand="1"/>
      </w:tblPr>
      <w:tblGrid>
        <w:gridCol w:w="8296"/>
      </w:tblGrid>
      <w:tr w:rsidR="00915A06" w:rsidRPr="00915A06" w14:paraId="48C903DC" w14:textId="77777777">
        <w:tc>
          <w:tcPr>
            <w:tcW w:w="8296" w:type="dxa"/>
          </w:tcPr>
          <w:p w14:paraId="27E64A9C" w14:textId="77777777" w:rsidR="00915A06" w:rsidRPr="00915A06" w:rsidRDefault="00915A06" w:rsidP="00077AB8">
            <w:pPr>
              <w:rPr>
                <w:b/>
                <w:bCs/>
              </w:rPr>
            </w:pPr>
            <w:r w:rsidRPr="00915A06">
              <w:rPr>
                <w:b/>
                <w:bCs/>
              </w:rPr>
              <w:t xml:space="preserve">3.3 Διαδικασία αναζήτησης πηγών          </w:t>
            </w:r>
          </w:p>
        </w:tc>
      </w:tr>
      <w:tr w:rsidR="00915A06" w:rsidRPr="00915A06" w14:paraId="120790B4" w14:textId="77777777">
        <w:tc>
          <w:tcPr>
            <w:tcW w:w="8296" w:type="dxa"/>
          </w:tcPr>
          <w:p w14:paraId="62A5E9CF" w14:textId="77777777" w:rsidR="00915A06" w:rsidRPr="00915A06" w:rsidRDefault="00915A06" w:rsidP="00077AB8">
            <w:pPr>
              <w:rPr>
                <w:lang w:val="en-US"/>
              </w:rPr>
            </w:pPr>
            <w:r w:rsidRPr="00915A06">
              <w:rPr>
                <w:lang w:val="en-US"/>
              </w:rPr>
              <w:t xml:space="preserve">• </w:t>
            </w:r>
            <w:r w:rsidRPr="00915A06">
              <w:t>Βάσεις</w:t>
            </w:r>
            <w:r w:rsidRPr="00915A06">
              <w:rPr>
                <w:lang w:val="en-US"/>
              </w:rPr>
              <w:t xml:space="preserve">: Google Scholar, Scopus, ERIC, </w:t>
            </w:r>
            <w:proofErr w:type="spellStart"/>
            <w:r w:rsidRPr="00915A06">
              <w:t>ΙΕΠ</w:t>
            </w:r>
            <w:proofErr w:type="spellEnd"/>
            <w:r w:rsidRPr="00915A06">
              <w:rPr>
                <w:lang w:val="en-US"/>
              </w:rPr>
              <w:t xml:space="preserve">. </w:t>
            </w:r>
          </w:p>
        </w:tc>
      </w:tr>
      <w:tr w:rsidR="00915A06" w:rsidRPr="00915A06" w14:paraId="0C288240" w14:textId="77777777">
        <w:tc>
          <w:tcPr>
            <w:tcW w:w="8296" w:type="dxa"/>
          </w:tcPr>
          <w:p w14:paraId="47470F73" w14:textId="77777777" w:rsidR="00915A06" w:rsidRPr="00915A06" w:rsidRDefault="00915A06" w:rsidP="00077AB8">
            <w:r w:rsidRPr="00915A06">
              <w:t xml:space="preserve">• Λέξεις-κλειδιά σε ελληνικά και αγγλικά. </w:t>
            </w:r>
          </w:p>
        </w:tc>
      </w:tr>
      <w:tr w:rsidR="00915A06" w:rsidRPr="00915A06" w14:paraId="35054E39" w14:textId="77777777">
        <w:tc>
          <w:tcPr>
            <w:tcW w:w="8296" w:type="dxa"/>
          </w:tcPr>
          <w:p w14:paraId="09199211" w14:textId="77777777" w:rsidR="00915A06" w:rsidRPr="00915A06" w:rsidRDefault="00915A06" w:rsidP="00077AB8">
            <w:r w:rsidRPr="00915A06">
              <w:t xml:space="preserve">• Αρχικός έλεγχος σε τίτλους/περιλήψεις και στη συνέχεια στο πλήρες κείμενο. </w:t>
            </w:r>
          </w:p>
        </w:tc>
      </w:tr>
      <w:tr w:rsidR="00915A06" w14:paraId="5BBBE753" w14:textId="77777777">
        <w:tc>
          <w:tcPr>
            <w:tcW w:w="8296" w:type="dxa"/>
          </w:tcPr>
          <w:p w14:paraId="2796B574" w14:textId="77777777" w:rsidR="00915A06" w:rsidRDefault="00915A06" w:rsidP="00077AB8">
            <w:r w:rsidRPr="00915A06">
              <w:t xml:space="preserve">• Επιλογή με βάση συνάφεια, πληρότητα και μεθοδολογική επάρκεια.                                                                                      </w:t>
            </w:r>
          </w:p>
        </w:tc>
      </w:tr>
    </w:tbl>
    <w:p w14:paraId="6063D149" w14:textId="468CF02A" w:rsidR="00915A06" w:rsidRDefault="00915A06" w:rsidP="00915A06"/>
    <w:tbl>
      <w:tblPr>
        <w:tblStyle w:val="aa"/>
        <w:tblW w:w="0" w:type="auto"/>
        <w:tblLook w:val="04A0" w:firstRow="1" w:lastRow="0" w:firstColumn="1" w:lastColumn="0" w:noHBand="0" w:noVBand="1"/>
      </w:tblPr>
      <w:tblGrid>
        <w:gridCol w:w="8296"/>
      </w:tblGrid>
      <w:tr w:rsidR="00915A06" w:rsidRPr="00915A06" w14:paraId="1A0A0B23" w14:textId="77777777">
        <w:tc>
          <w:tcPr>
            <w:tcW w:w="8296" w:type="dxa"/>
          </w:tcPr>
          <w:p w14:paraId="7FF5F6CD" w14:textId="77777777" w:rsidR="00915A06" w:rsidRPr="00915A06" w:rsidRDefault="00915A06" w:rsidP="00BB1401">
            <w:pPr>
              <w:rPr>
                <w:b/>
                <w:bCs/>
              </w:rPr>
            </w:pPr>
            <w:r w:rsidRPr="00915A06">
              <w:rPr>
                <w:b/>
                <w:bCs/>
              </w:rPr>
              <w:t>3.4 Κριτήρια συμπερίληψης &amp; αποκλεισμού</w:t>
            </w:r>
            <w:r w:rsidRPr="00915A06">
              <w:rPr>
                <w:b/>
                <w:bCs/>
              </w:rPr>
              <w:t xml:space="preserve"> </w:t>
            </w:r>
          </w:p>
        </w:tc>
      </w:tr>
      <w:tr w:rsidR="00915A06" w:rsidRPr="00915A06" w14:paraId="3038406A" w14:textId="77777777">
        <w:tc>
          <w:tcPr>
            <w:tcW w:w="8296" w:type="dxa"/>
          </w:tcPr>
          <w:p w14:paraId="0E5A1084" w14:textId="77777777" w:rsidR="00915A06" w:rsidRPr="00915A06" w:rsidRDefault="00915A06" w:rsidP="00BB1401">
            <w:pPr>
              <w:rPr>
                <w:u w:val="single"/>
              </w:rPr>
            </w:pPr>
            <w:r w:rsidRPr="00915A06">
              <w:rPr>
                <w:u w:val="single"/>
              </w:rPr>
              <w:t>Συμπερίληψη</w:t>
            </w:r>
            <w:r w:rsidRPr="00915A06">
              <w:rPr>
                <w:u w:val="single"/>
              </w:rPr>
              <w:t>:</w:t>
            </w:r>
          </w:p>
        </w:tc>
      </w:tr>
      <w:tr w:rsidR="00915A06" w:rsidRPr="00915A06" w14:paraId="5C5B2E50" w14:textId="77777777">
        <w:tc>
          <w:tcPr>
            <w:tcW w:w="8296" w:type="dxa"/>
          </w:tcPr>
          <w:p w14:paraId="790BFFA4" w14:textId="77777777" w:rsidR="00915A06" w:rsidRPr="00915A06" w:rsidRDefault="00915A06" w:rsidP="00BB1401">
            <w:r w:rsidRPr="00915A06">
              <w:t xml:space="preserve">• Επιστημονική τεκμηρίωση και σαφής μεθοδολογία. </w:t>
            </w:r>
          </w:p>
        </w:tc>
      </w:tr>
      <w:tr w:rsidR="00915A06" w:rsidRPr="00915A06" w14:paraId="4B077A43" w14:textId="77777777">
        <w:tc>
          <w:tcPr>
            <w:tcW w:w="8296" w:type="dxa"/>
          </w:tcPr>
          <w:p w14:paraId="310C96F1" w14:textId="77777777" w:rsidR="00915A06" w:rsidRPr="00915A06" w:rsidRDefault="00915A06" w:rsidP="00BB1401">
            <w:r w:rsidRPr="00915A06">
              <w:t xml:space="preserve">• Ευρήματα σχετιζόμενα με επιμόρφωση και επαγγελματική ανάπτυξη. </w:t>
            </w:r>
          </w:p>
        </w:tc>
      </w:tr>
      <w:tr w:rsidR="00915A06" w:rsidRPr="00915A06" w14:paraId="49D76F48" w14:textId="77777777">
        <w:tc>
          <w:tcPr>
            <w:tcW w:w="8296" w:type="dxa"/>
          </w:tcPr>
          <w:p w14:paraId="78EA2697" w14:textId="77777777" w:rsidR="00915A06" w:rsidRPr="00915A06" w:rsidRDefault="00915A06" w:rsidP="00BB1401">
            <w:pPr>
              <w:rPr>
                <w:u w:val="single"/>
              </w:rPr>
            </w:pPr>
            <w:r w:rsidRPr="00915A06">
              <w:rPr>
                <w:u w:val="single"/>
              </w:rPr>
              <w:t>Αποκλεισμός:</w:t>
            </w:r>
            <w:r w:rsidRPr="00915A06">
              <w:rPr>
                <w:u w:val="single"/>
              </w:rPr>
              <w:t xml:space="preserve"> </w:t>
            </w:r>
          </w:p>
        </w:tc>
      </w:tr>
      <w:tr w:rsidR="00915A06" w:rsidRPr="00915A06" w14:paraId="4EFD1053" w14:textId="77777777">
        <w:tc>
          <w:tcPr>
            <w:tcW w:w="8296" w:type="dxa"/>
          </w:tcPr>
          <w:p w14:paraId="68D503BB" w14:textId="77777777" w:rsidR="00915A06" w:rsidRPr="00915A06" w:rsidRDefault="00915A06" w:rsidP="00BB1401">
            <w:r w:rsidRPr="00915A06">
              <w:t xml:space="preserve">• Μη επιστημονικά κείμενα. </w:t>
            </w:r>
          </w:p>
        </w:tc>
      </w:tr>
      <w:tr w:rsidR="00915A06" w14:paraId="7C27890C" w14:textId="77777777">
        <w:tc>
          <w:tcPr>
            <w:tcW w:w="8296" w:type="dxa"/>
          </w:tcPr>
          <w:p w14:paraId="5D680F80" w14:textId="77777777" w:rsidR="00915A06" w:rsidRDefault="00915A06" w:rsidP="00BB1401">
            <w:r w:rsidRPr="00915A06">
              <w:t xml:space="preserve">• Μελέτες με ασάφειες, μεθοδολογικά κενά ή έλλειψη στοιχείων.          </w:t>
            </w:r>
          </w:p>
        </w:tc>
      </w:tr>
    </w:tbl>
    <w:p w14:paraId="7060B795" w14:textId="2CD19961" w:rsidR="00915A06" w:rsidRDefault="00915A06" w:rsidP="00915A06">
      <w:r>
        <w:t xml:space="preserve">                                                      </w:t>
      </w:r>
    </w:p>
    <w:tbl>
      <w:tblPr>
        <w:tblStyle w:val="aa"/>
        <w:tblW w:w="0" w:type="auto"/>
        <w:tblLook w:val="04A0" w:firstRow="1" w:lastRow="0" w:firstColumn="1" w:lastColumn="0" w:noHBand="0" w:noVBand="1"/>
      </w:tblPr>
      <w:tblGrid>
        <w:gridCol w:w="8296"/>
      </w:tblGrid>
      <w:tr w:rsidR="00915A06" w:rsidRPr="00915A06" w14:paraId="62C53FA0" w14:textId="77777777">
        <w:tc>
          <w:tcPr>
            <w:tcW w:w="8296" w:type="dxa"/>
          </w:tcPr>
          <w:p w14:paraId="1F643801" w14:textId="77777777" w:rsidR="00915A06" w:rsidRPr="00915A06" w:rsidRDefault="00915A06" w:rsidP="00BD5FEF">
            <w:pPr>
              <w:rPr>
                <w:b/>
                <w:bCs/>
              </w:rPr>
            </w:pPr>
            <w:r w:rsidRPr="00915A06">
              <w:rPr>
                <w:b/>
                <w:bCs/>
              </w:rPr>
              <w:lastRenderedPageBreak/>
              <w:t>3.5 Διαδικασία ανάλυσης &amp; κατηγοριοποίησης</w:t>
            </w:r>
            <w:r w:rsidRPr="00915A06">
              <w:rPr>
                <w:b/>
                <w:bCs/>
              </w:rPr>
              <w:t xml:space="preserve"> </w:t>
            </w:r>
          </w:p>
        </w:tc>
      </w:tr>
      <w:tr w:rsidR="00915A06" w:rsidRPr="00915A06" w14:paraId="1D798591" w14:textId="77777777">
        <w:tc>
          <w:tcPr>
            <w:tcW w:w="8296" w:type="dxa"/>
          </w:tcPr>
          <w:p w14:paraId="4426BEFB" w14:textId="77777777" w:rsidR="00915A06" w:rsidRPr="00915A06" w:rsidRDefault="00915A06" w:rsidP="00BD5FEF">
            <w:r w:rsidRPr="00915A06">
              <w:t xml:space="preserve">• Θεματική ανάλυση των μελετών. </w:t>
            </w:r>
          </w:p>
        </w:tc>
      </w:tr>
      <w:tr w:rsidR="00915A06" w:rsidRPr="00915A06" w14:paraId="2C5A4C1F" w14:textId="77777777">
        <w:tc>
          <w:tcPr>
            <w:tcW w:w="8296" w:type="dxa"/>
          </w:tcPr>
          <w:p w14:paraId="5A05D21B" w14:textId="77777777" w:rsidR="00915A06" w:rsidRPr="00915A06" w:rsidRDefault="00915A06" w:rsidP="00BD5FEF">
            <w:r w:rsidRPr="00915A06">
              <w:t xml:space="preserve">• Κατηγοριοποίηση με βάση: πλαίσιο, μεθοδολογία, διάρκεια επιμόρφωσης, επιδράσεις, παράγοντες επιτυχίας/αποτυχίας. </w:t>
            </w:r>
          </w:p>
        </w:tc>
      </w:tr>
      <w:tr w:rsidR="00915A06" w:rsidRPr="00915A06" w14:paraId="3930B2AA" w14:textId="77777777">
        <w:tc>
          <w:tcPr>
            <w:tcW w:w="8296" w:type="dxa"/>
          </w:tcPr>
          <w:p w14:paraId="1F2713D6" w14:textId="77777777" w:rsidR="00915A06" w:rsidRPr="00915A06" w:rsidRDefault="00915A06" w:rsidP="00BD5FEF">
            <w:r w:rsidRPr="00915A06">
              <w:t xml:space="preserve">• Εντοπισμός μοτίβων και συγκλίσεων. </w:t>
            </w:r>
          </w:p>
        </w:tc>
      </w:tr>
      <w:tr w:rsidR="00915A06" w:rsidRPr="00915A06" w14:paraId="4DA0AF70" w14:textId="77777777">
        <w:tc>
          <w:tcPr>
            <w:tcW w:w="8296" w:type="dxa"/>
          </w:tcPr>
          <w:p w14:paraId="1C42E6E5" w14:textId="77777777" w:rsidR="00915A06" w:rsidRPr="00915A06" w:rsidRDefault="00915A06" w:rsidP="00BD5FEF">
            <w:r w:rsidRPr="00915A06">
              <w:t xml:space="preserve">• Αδυναμία ενιαίας ποσοτικής ανάλυσης λόγω ετερογένειας μελετών.                                                                  </w:t>
            </w:r>
          </w:p>
        </w:tc>
      </w:tr>
    </w:tbl>
    <w:p w14:paraId="0B96C76C" w14:textId="77777777" w:rsidR="00915A06" w:rsidRDefault="00915A06" w:rsidP="00915A06"/>
    <w:tbl>
      <w:tblPr>
        <w:tblStyle w:val="aa"/>
        <w:tblW w:w="0" w:type="auto"/>
        <w:tblLook w:val="04A0" w:firstRow="1" w:lastRow="0" w:firstColumn="1" w:lastColumn="0" w:noHBand="0" w:noVBand="1"/>
      </w:tblPr>
      <w:tblGrid>
        <w:gridCol w:w="8296"/>
      </w:tblGrid>
      <w:tr w:rsidR="00915A06" w:rsidRPr="00915A06" w14:paraId="29056FAB" w14:textId="77777777">
        <w:tc>
          <w:tcPr>
            <w:tcW w:w="8296" w:type="dxa"/>
          </w:tcPr>
          <w:p w14:paraId="1BCD2B5E" w14:textId="77777777" w:rsidR="00915A06" w:rsidRPr="00915A06" w:rsidRDefault="00915A06" w:rsidP="00764124">
            <w:pPr>
              <w:rPr>
                <w:b/>
                <w:bCs/>
              </w:rPr>
            </w:pPr>
            <w:r w:rsidRPr="00915A06">
              <w:rPr>
                <w:b/>
                <w:bCs/>
              </w:rPr>
              <w:t>3.6 Περιορισμοί της μεθόδου</w:t>
            </w:r>
          </w:p>
        </w:tc>
      </w:tr>
      <w:tr w:rsidR="00915A06" w:rsidRPr="00915A06" w14:paraId="368CB439" w14:textId="77777777">
        <w:tc>
          <w:tcPr>
            <w:tcW w:w="8296" w:type="dxa"/>
          </w:tcPr>
          <w:p w14:paraId="5099C7A4" w14:textId="77777777" w:rsidR="00915A06" w:rsidRPr="00915A06" w:rsidRDefault="00915A06" w:rsidP="00764124">
            <w:r w:rsidRPr="00915A06">
              <w:t>• Γλωσσικός περιορισμός (ελληνικά-αγγλικά).</w:t>
            </w:r>
            <w:r w:rsidRPr="00915A06">
              <w:t xml:space="preserve"> </w:t>
            </w:r>
          </w:p>
        </w:tc>
      </w:tr>
      <w:tr w:rsidR="00915A06" w:rsidRPr="00915A06" w14:paraId="1DE62E03" w14:textId="77777777">
        <w:tc>
          <w:tcPr>
            <w:tcW w:w="8296" w:type="dxa"/>
          </w:tcPr>
          <w:p w14:paraId="4EEAB9C9" w14:textId="77777777" w:rsidR="00915A06" w:rsidRPr="00915A06" w:rsidRDefault="00915A06" w:rsidP="00764124">
            <w:r w:rsidRPr="00915A06">
              <w:t xml:space="preserve">• Μεγάλη ποικιλία μεθοδολογιών και εργαλείων. </w:t>
            </w:r>
          </w:p>
        </w:tc>
      </w:tr>
      <w:tr w:rsidR="00915A06" w:rsidRPr="00915A06" w14:paraId="1F1ACE64" w14:textId="77777777">
        <w:tc>
          <w:tcPr>
            <w:tcW w:w="8296" w:type="dxa"/>
          </w:tcPr>
          <w:p w14:paraId="227FE256" w14:textId="77777777" w:rsidR="00915A06" w:rsidRPr="00915A06" w:rsidRDefault="00915A06" w:rsidP="00764124">
            <w:r w:rsidRPr="00915A06">
              <w:t xml:space="preserve">• Χρονικό εύρος που αποκλείει παλαιότερες/μελλοντικές εξελίξεις. </w:t>
            </w:r>
          </w:p>
        </w:tc>
      </w:tr>
      <w:tr w:rsidR="00915A06" w:rsidRPr="00915A06" w14:paraId="7C74F20B" w14:textId="77777777">
        <w:tc>
          <w:tcPr>
            <w:tcW w:w="8296" w:type="dxa"/>
          </w:tcPr>
          <w:p w14:paraId="626CA14D" w14:textId="77777777" w:rsidR="00915A06" w:rsidRPr="00915A06" w:rsidRDefault="00915A06" w:rsidP="00764124">
            <w:r w:rsidRPr="00915A06">
              <w:t xml:space="preserve">• Υποκειμενικότητα στην κωδικοποίηση και κατηγοριοποίηση. </w:t>
            </w:r>
          </w:p>
        </w:tc>
      </w:tr>
      <w:tr w:rsidR="00915A06" w:rsidRPr="00915A06" w14:paraId="3605C30A" w14:textId="77777777">
        <w:tc>
          <w:tcPr>
            <w:tcW w:w="8296" w:type="dxa"/>
          </w:tcPr>
          <w:p w14:paraId="2D767F7E" w14:textId="77777777" w:rsidR="00915A06" w:rsidRPr="00915A06" w:rsidRDefault="00915A06" w:rsidP="00764124">
            <w:r w:rsidRPr="00915A06">
              <w:t xml:space="preserve">• Περιορισμένη δυνατότητα γενίκευσης.                                                            </w:t>
            </w:r>
          </w:p>
        </w:tc>
      </w:tr>
    </w:tbl>
    <w:p w14:paraId="4539D4ED" w14:textId="3976C0BF" w:rsidR="00126D40" w:rsidRDefault="00126D40" w:rsidP="00915A06"/>
    <w:p w14:paraId="592780DE" w14:textId="77777777" w:rsidR="00173B03" w:rsidRDefault="00173B03" w:rsidP="00915A06"/>
    <w:p w14:paraId="739D6232" w14:textId="77777777" w:rsidR="00173B03" w:rsidRPr="00173B03" w:rsidRDefault="00173B03" w:rsidP="00173B03">
      <w:pPr>
        <w:keepNext/>
        <w:keepLines/>
        <w:spacing w:before="360" w:after="80"/>
        <w:outlineLvl w:val="0"/>
        <w:rPr>
          <w:rFonts w:asciiTheme="majorHAnsi" w:eastAsia="Times New Roman" w:hAnsiTheme="majorHAnsi" w:cs="Times New Roman"/>
          <w:b/>
          <w:bCs/>
          <w:sz w:val="28"/>
          <w:szCs w:val="28"/>
        </w:rPr>
      </w:pPr>
      <w:r w:rsidRPr="00173B03">
        <w:rPr>
          <w:rFonts w:asciiTheme="majorHAnsi" w:eastAsia="Times New Roman" w:hAnsiTheme="majorHAnsi" w:cs="Times New Roman"/>
          <w:b/>
          <w:bCs/>
          <w:sz w:val="28"/>
          <w:szCs w:val="28"/>
        </w:rPr>
        <w:t xml:space="preserve">4. Παρουσίαση και σύνθεση ευρημάτων της </w:t>
      </w:r>
      <w:proofErr w:type="spellStart"/>
      <w:r w:rsidRPr="00173B03">
        <w:rPr>
          <w:rFonts w:asciiTheme="majorHAnsi" w:eastAsia="Times New Roman" w:hAnsiTheme="majorHAnsi" w:cs="Times New Roman"/>
          <w:b/>
          <w:bCs/>
          <w:sz w:val="28"/>
          <w:szCs w:val="28"/>
        </w:rPr>
        <w:t>μετα</w:t>
      </w:r>
      <w:proofErr w:type="spellEnd"/>
      <w:r w:rsidRPr="00173B03">
        <w:rPr>
          <w:rFonts w:asciiTheme="majorHAnsi" w:eastAsia="Times New Roman" w:hAnsiTheme="majorHAnsi" w:cs="Times New Roman"/>
          <w:b/>
          <w:bCs/>
          <w:sz w:val="28"/>
          <w:szCs w:val="28"/>
        </w:rPr>
        <w:t>-ανάλυσης</w:t>
      </w:r>
    </w:p>
    <w:p w14:paraId="7D2E2F33" w14:textId="77777777" w:rsidR="00173B03" w:rsidRPr="00173B03" w:rsidRDefault="00173B03" w:rsidP="00915A06">
      <w:pPr>
        <w:rPr>
          <w:rFonts w:asciiTheme="majorHAnsi" w:hAnsiTheme="majorHAnsi"/>
        </w:rPr>
      </w:pPr>
    </w:p>
    <w:tbl>
      <w:tblPr>
        <w:tblStyle w:val="aa"/>
        <w:tblW w:w="0" w:type="auto"/>
        <w:tblLook w:val="04A0" w:firstRow="1" w:lastRow="0" w:firstColumn="1" w:lastColumn="0" w:noHBand="0" w:noVBand="1"/>
      </w:tblPr>
      <w:tblGrid>
        <w:gridCol w:w="4577"/>
        <w:gridCol w:w="3467"/>
        <w:gridCol w:w="252"/>
      </w:tblGrid>
      <w:tr w:rsidR="00173B03" w:rsidRPr="00173B03" w14:paraId="12142C14" w14:textId="3E7C83AC" w:rsidTr="00173B03">
        <w:tc>
          <w:tcPr>
            <w:tcW w:w="8044" w:type="dxa"/>
            <w:gridSpan w:val="2"/>
          </w:tcPr>
          <w:p w14:paraId="27E833B3" w14:textId="1C25FB99" w:rsidR="00173B03" w:rsidRPr="00173B03" w:rsidRDefault="00173B03" w:rsidP="00173B03">
            <w:pPr>
              <w:pStyle w:val="2"/>
              <w:spacing w:line="360" w:lineRule="auto"/>
              <w:jc w:val="both"/>
              <w:rPr>
                <w:rFonts w:eastAsiaTheme="minorHAnsi" w:cs="Times New Roman"/>
                <w:b/>
                <w:bCs/>
                <w:color w:val="auto"/>
                <w:sz w:val="24"/>
                <w:szCs w:val="24"/>
              </w:rPr>
            </w:pPr>
            <w:r w:rsidRPr="00173B03">
              <w:rPr>
                <w:rFonts w:eastAsiaTheme="minorHAnsi" w:cs="Times New Roman"/>
                <w:b/>
                <w:bCs/>
                <w:color w:val="auto"/>
                <w:sz w:val="24"/>
                <w:szCs w:val="24"/>
              </w:rPr>
              <w:t>4.1 Επιρροή της επιμόρφωσης στη διδακτική πρακτική</w:t>
            </w:r>
          </w:p>
        </w:tc>
        <w:tc>
          <w:tcPr>
            <w:tcW w:w="252" w:type="dxa"/>
          </w:tcPr>
          <w:p w14:paraId="49D43992" w14:textId="77777777" w:rsidR="00173B03" w:rsidRPr="00173B03" w:rsidRDefault="00173B03" w:rsidP="00173B03">
            <w:pPr>
              <w:pStyle w:val="2"/>
              <w:spacing w:line="360" w:lineRule="auto"/>
              <w:jc w:val="both"/>
              <w:rPr>
                <w:rFonts w:eastAsiaTheme="minorHAnsi" w:cs="Times New Roman"/>
                <w:b/>
                <w:bCs/>
                <w:color w:val="auto"/>
                <w:sz w:val="24"/>
                <w:szCs w:val="24"/>
              </w:rPr>
            </w:pPr>
          </w:p>
        </w:tc>
      </w:tr>
      <w:tr w:rsidR="00173B03" w:rsidRPr="00173B03" w14:paraId="2E03278D" w14:textId="6DB178F1" w:rsidTr="00173B03">
        <w:tc>
          <w:tcPr>
            <w:tcW w:w="4577" w:type="dxa"/>
          </w:tcPr>
          <w:p w14:paraId="2AEBAAC6" w14:textId="1ECDFA8F" w:rsidR="00173B03" w:rsidRPr="00173B03" w:rsidRDefault="00173B03" w:rsidP="00915A06">
            <w:pPr>
              <w:rPr>
                <w:rFonts w:asciiTheme="majorHAnsi" w:hAnsiTheme="majorHAnsi"/>
              </w:rPr>
            </w:pPr>
            <w:proofErr w:type="spellStart"/>
            <w:r w:rsidRPr="00173B03">
              <w:rPr>
                <w:rFonts w:asciiTheme="majorHAnsi" w:hAnsiTheme="majorHAnsi" w:cs="Times New Roman"/>
                <w:sz w:val="24"/>
                <w:szCs w:val="24"/>
              </w:rPr>
              <w:t>Kraft</w:t>
            </w:r>
            <w:proofErr w:type="spellEnd"/>
            <w:r w:rsidRPr="00173B03">
              <w:rPr>
                <w:rFonts w:asciiTheme="majorHAnsi" w:hAnsiTheme="majorHAnsi" w:cs="Times New Roman"/>
                <w:sz w:val="24"/>
                <w:szCs w:val="24"/>
              </w:rPr>
              <w:t xml:space="preserve">, </w:t>
            </w:r>
            <w:proofErr w:type="spellStart"/>
            <w:r w:rsidRPr="00173B03">
              <w:rPr>
                <w:rFonts w:asciiTheme="majorHAnsi" w:hAnsiTheme="majorHAnsi" w:cs="Times New Roman"/>
                <w:sz w:val="24"/>
                <w:szCs w:val="24"/>
              </w:rPr>
              <w:t>Blazar</w:t>
            </w:r>
            <w:proofErr w:type="spellEnd"/>
            <w:r w:rsidRPr="00173B03">
              <w:rPr>
                <w:rFonts w:asciiTheme="majorHAnsi" w:hAnsiTheme="majorHAnsi" w:cs="Times New Roman"/>
                <w:sz w:val="24"/>
                <w:szCs w:val="24"/>
              </w:rPr>
              <w:t xml:space="preserve"> και </w:t>
            </w:r>
            <w:proofErr w:type="spellStart"/>
            <w:r w:rsidRPr="00173B03">
              <w:rPr>
                <w:rFonts w:asciiTheme="majorHAnsi" w:hAnsiTheme="majorHAnsi" w:cs="Times New Roman"/>
                <w:sz w:val="24"/>
                <w:szCs w:val="24"/>
              </w:rPr>
              <w:t>Hogan</w:t>
            </w:r>
            <w:proofErr w:type="spellEnd"/>
            <w:r w:rsidRPr="00173B03">
              <w:rPr>
                <w:rFonts w:asciiTheme="majorHAnsi" w:hAnsiTheme="majorHAnsi" w:cs="Times New Roman"/>
                <w:sz w:val="24"/>
                <w:szCs w:val="24"/>
              </w:rPr>
              <w:t xml:space="preserve"> (2018)</w:t>
            </w:r>
          </w:p>
        </w:tc>
        <w:tc>
          <w:tcPr>
            <w:tcW w:w="3719" w:type="dxa"/>
            <w:gridSpan w:val="2"/>
          </w:tcPr>
          <w:p w14:paraId="4C79ACC3" w14:textId="39ED32B1" w:rsidR="00173B03" w:rsidRPr="00173B03" w:rsidRDefault="00173B03" w:rsidP="00915A06">
            <w:pPr>
              <w:rPr>
                <w:rFonts w:asciiTheme="majorHAnsi" w:hAnsiTheme="majorHAnsi"/>
              </w:rPr>
            </w:pPr>
            <w:r w:rsidRPr="00173B03">
              <w:rPr>
                <w:rFonts w:asciiTheme="majorHAnsi" w:hAnsiTheme="majorHAnsi" w:cs="Times New Roman"/>
                <w:sz w:val="24"/>
                <w:szCs w:val="24"/>
              </w:rPr>
              <w:t>Τ</w:t>
            </w:r>
            <w:r w:rsidRPr="00173B03">
              <w:rPr>
                <w:rFonts w:asciiTheme="majorHAnsi" w:hAnsiTheme="majorHAnsi" w:cs="Times New Roman"/>
                <w:sz w:val="24"/>
                <w:szCs w:val="24"/>
              </w:rPr>
              <w:t>α προγράμματα επιμόρφωσης υψηλής ποιότητας οδηγούν σε σημαντική βελτίωση της ποιότητας της διδασκαλίας, η οποία αποτυπώνεται και στα μαθησιακά αποτελέσματα</w:t>
            </w:r>
            <w:r w:rsidRPr="00173B03">
              <w:rPr>
                <w:rFonts w:asciiTheme="majorHAnsi" w:hAnsiTheme="majorHAnsi" w:cs="Times New Roman"/>
                <w:sz w:val="24"/>
                <w:szCs w:val="24"/>
              </w:rPr>
              <w:t>.</w:t>
            </w:r>
          </w:p>
        </w:tc>
      </w:tr>
      <w:tr w:rsidR="00173B03" w:rsidRPr="00173B03" w14:paraId="0D197A91" w14:textId="72E58E60" w:rsidTr="00173B03">
        <w:tc>
          <w:tcPr>
            <w:tcW w:w="4577" w:type="dxa"/>
          </w:tcPr>
          <w:p w14:paraId="4A1119D9" w14:textId="2C6A5D54" w:rsidR="00173B03" w:rsidRPr="00173B03" w:rsidRDefault="00173B03" w:rsidP="00915A06">
            <w:pPr>
              <w:rPr>
                <w:rFonts w:asciiTheme="majorHAnsi" w:hAnsiTheme="majorHAnsi"/>
              </w:rPr>
            </w:pPr>
            <w:proofErr w:type="spellStart"/>
            <w:r w:rsidRPr="00173B03">
              <w:rPr>
                <w:rFonts w:asciiTheme="majorHAnsi" w:hAnsiTheme="majorHAnsi" w:cs="Times New Roman"/>
                <w:sz w:val="24"/>
                <w:szCs w:val="24"/>
              </w:rPr>
              <w:t>Amemasor</w:t>
            </w:r>
            <w:proofErr w:type="spellEnd"/>
            <w:r w:rsidRPr="00173B03">
              <w:rPr>
                <w:rFonts w:asciiTheme="majorHAnsi" w:hAnsiTheme="majorHAnsi" w:cs="Times New Roman"/>
                <w:sz w:val="24"/>
                <w:szCs w:val="24"/>
              </w:rPr>
              <w:t xml:space="preserve"> </w:t>
            </w:r>
            <w:proofErr w:type="spellStart"/>
            <w:r w:rsidRPr="00173B03">
              <w:rPr>
                <w:rFonts w:asciiTheme="majorHAnsi" w:hAnsiTheme="majorHAnsi" w:cs="Times New Roman"/>
                <w:sz w:val="24"/>
                <w:szCs w:val="24"/>
              </w:rPr>
              <w:t>et</w:t>
            </w:r>
            <w:proofErr w:type="spellEnd"/>
            <w:r w:rsidRPr="00173B03">
              <w:rPr>
                <w:rFonts w:asciiTheme="majorHAnsi" w:hAnsiTheme="majorHAnsi" w:cs="Times New Roman"/>
                <w:sz w:val="24"/>
                <w:szCs w:val="24"/>
              </w:rPr>
              <w:t xml:space="preserve"> a</w:t>
            </w:r>
            <w:r w:rsidRPr="00173B03">
              <w:rPr>
                <w:rFonts w:asciiTheme="majorHAnsi" w:hAnsiTheme="majorHAnsi" w:cs="Times New Roman"/>
                <w:sz w:val="24"/>
                <w:szCs w:val="24"/>
                <w:lang w:val="en-US"/>
              </w:rPr>
              <w:t xml:space="preserve">l. </w:t>
            </w:r>
            <w:r w:rsidRPr="00173B03">
              <w:rPr>
                <w:rFonts w:asciiTheme="majorHAnsi" w:hAnsiTheme="majorHAnsi" w:cs="Times New Roman"/>
                <w:sz w:val="24"/>
                <w:szCs w:val="24"/>
              </w:rPr>
              <w:t>(2025)</w:t>
            </w:r>
          </w:p>
        </w:tc>
        <w:tc>
          <w:tcPr>
            <w:tcW w:w="3719" w:type="dxa"/>
            <w:gridSpan w:val="2"/>
          </w:tcPr>
          <w:p w14:paraId="6B93FB66" w14:textId="31C25F06" w:rsidR="00173B03" w:rsidRPr="00173B03" w:rsidRDefault="00173B03" w:rsidP="00915A06">
            <w:pPr>
              <w:rPr>
                <w:rFonts w:asciiTheme="majorHAnsi" w:hAnsiTheme="majorHAnsi"/>
              </w:rPr>
            </w:pPr>
            <w:r w:rsidRPr="00173B03">
              <w:rPr>
                <w:rFonts w:asciiTheme="majorHAnsi" w:hAnsiTheme="majorHAnsi" w:cs="Times New Roman"/>
                <w:sz w:val="24"/>
                <w:szCs w:val="24"/>
              </w:rPr>
              <w:t xml:space="preserve">Η </w:t>
            </w:r>
            <w:r w:rsidRPr="00173B03">
              <w:rPr>
                <w:rFonts w:asciiTheme="majorHAnsi" w:hAnsiTheme="majorHAnsi" w:cs="Times New Roman"/>
                <w:sz w:val="24"/>
                <w:szCs w:val="24"/>
              </w:rPr>
              <w:t xml:space="preserve">επιμόρφωση που σχετίζεται με τις ψηφιακές τεχνολογίες συμβάλλει στην υιοθέτηση μιας πιο </w:t>
            </w:r>
            <w:proofErr w:type="spellStart"/>
            <w:r w:rsidRPr="00173B03">
              <w:rPr>
                <w:rFonts w:asciiTheme="majorHAnsi" w:hAnsiTheme="majorHAnsi" w:cs="Times New Roman"/>
                <w:sz w:val="24"/>
                <w:szCs w:val="24"/>
              </w:rPr>
              <w:t>μαθητοκεντρικής</w:t>
            </w:r>
            <w:proofErr w:type="spellEnd"/>
            <w:r w:rsidRPr="00173B03">
              <w:rPr>
                <w:rFonts w:asciiTheme="majorHAnsi" w:hAnsiTheme="majorHAnsi" w:cs="Times New Roman"/>
                <w:sz w:val="24"/>
                <w:szCs w:val="24"/>
              </w:rPr>
              <w:t xml:space="preserve"> κουλτούρας και στη χρήση </w:t>
            </w:r>
            <w:proofErr w:type="spellStart"/>
            <w:r w:rsidRPr="00173B03">
              <w:rPr>
                <w:rFonts w:asciiTheme="majorHAnsi" w:hAnsiTheme="majorHAnsi" w:cs="Times New Roman"/>
                <w:sz w:val="24"/>
                <w:szCs w:val="24"/>
              </w:rPr>
              <w:t>πολυτροπικών</w:t>
            </w:r>
            <w:proofErr w:type="spellEnd"/>
            <w:r w:rsidRPr="00173B03">
              <w:rPr>
                <w:rFonts w:asciiTheme="majorHAnsi" w:hAnsiTheme="majorHAnsi" w:cs="Times New Roman"/>
                <w:sz w:val="24"/>
                <w:szCs w:val="24"/>
              </w:rPr>
              <w:t xml:space="preserve"> μορφών διδασκαλίας.</w:t>
            </w:r>
          </w:p>
        </w:tc>
      </w:tr>
      <w:tr w:rsidR="00173B03" w:rsidRPr="00173B03" w14:paraId="33D868DD" w14:textId="272061EE" w:rsidTr="00173B03">
        <w:tc>
          <w:tcPr>
            <w:tcW w:w="4577" w:type="dxa"/>
          </w:tcPr>
          <w:p w14:paraId="257FD343" w14:textId="210E21B0" w:rsidR="00173B03" w:rsidRPr="00173B03" w:rsidRDefault="00173B03" w:rsidP="00915A06">
            <w:pPr>
              <w:rPr>
                <w:rFonts w:asciiTheme="majorHAnsi" w:hAnsiTheme="majorHAnsi"/>
                <w:lang w:val="en-US"/>
              </w:rPr>
            </w:pPr>
            <w:proofErr w:type="spellStart"/>
            <w:r w:rsidRPr="00173B03">
              <w:rPr>
                <w:rFonts w:asciiTheme="majorHAnsi" w:hAnsiTheme="majorHAnsi" w:cs="Times New Roman"/>
                <w:sz w:val="24"/>
                <w:szCs w:val="24"/>
              </w:rPr>
              <w:t>Mohamad</w:t>
            </w:r>
            <w:proofErr w:type="spellEnd"/>
            <w:r w:rsidRPr="00173B03">
              <w:rPr>
                <w:rFonts w:asciiTheme="majorHAnsi" w:hAnsiTheme="majorHAnsi" w:cs="Times New Roman"/>
                <w:sz w:val="24"/>
                <w:szCs w:val="24"/>
              </w:rPr>
              <w:t xml:space="preserve"> </w:t>
            </w:r>
            <w:proofErr w:type="spellStart"/>
            <w:r w:rsidRPr="00173B03">
              <w:rPr>
                <w:rFonts w:asciiTheme="majorHAnsi" w:hAnsiTheme="majorHAnsi" w:cs="Times New Roman"/>
                <w:sz w:val="24"/>
                <w:szCs w:val="24"/>
              </w:rPr>
              <w:t>Hasim</w:t>
            </w:r>
            <w:proofErr w:type="spellEnd"/>
            <w:r w:rsidRPr="00173B03">
              <w:rPr>
                <w:rFonts w:asciiTheme="majorHAnsi" w:hAnsiTheme="majorHAnsi" w:cs="Times New Roman"/>
                <w:sz w:val="24"/>
                <w:szCs w:val="24"/>
              </w:rPr>
              <w:t xml:space="preserve"> </w:t>
            </w:r>
            <w:proofErr w:type="spellStart"/>
            <w:r w:rsidRPr="00173B03">
              <w:rPr>
                <w:rFonts w:asciiTheme="majorHAnsi" w:hAnsiTheme="majorHAnsi" w:cs="Times New Roman"/>
                <w:sz w:val="24"/>
                <w:szCs w:val="24"/>
              </w:rPr>
              <w:t>et</w:t>
            </w:r>
            <w:proofErr w:type="spellEnd"/>
            <w:r w:rsidRPr="00173B03">
              <w:rPr>
                <w:rFonts w:asciiTheme="majorHAnsi" w:hAnsiTheme="majorHAnsi" w:cs="Times New Roman"/>
                <w:sz w:val="24"/>
                <w:szCs w:val="24"/>
              </w:rPr>
              <w:t xml:space="preserve"> </w:t>
            </w:r>
            <w:proofErr w:type="spellStart"/>
            <w:r w:rsidRPr="00173B03">
              <w:rPr>
                <w:rFonts w:asciiTheme="majorHAnsi" w:hAnsiTheme="majorHAnsi" w:cs="Times New Roman"/>
                <w:sz w:val="24"/>
                <w:szCs w:val="24"/>
              </w:rPr>
              <w:t>al</w:t>
            </w:r>
            <w:proofErr w:type="spellEnd"/>
            <w:r w:rsidRPr="00173B03">
              <w:rPr>
                <w:rFonts w:asciiTheme="majorHAnsi" w:hAnsiTheme="majorHAnsi" w:cs="Times New Roman"/>
                <w:sz w:val="24"/>
                <w:szCs w:val="24"/>
                <w:lang w:val="en-US"/>
              </w:rPr>
              <w:t>. (2022)</w:t>
            </w:r>
          </w:p>
        </w:tc>
        <w:tc>
          <w:tcPr>
            <w:tcW w:w="3719" w:type="dxa"/>
            <w:gridSpan w:val="2"/>
          </w:tcPr>
          <w:p w14:paraId="2059B444" w14:textId="0B1A4120" w:rsidR="00173B03" w:rsidRPr="00173B03" w:rsidRDefault="00173B03" w:rsidP="00915A06">
            <w:pPr>
              <w:rPr>
                <w:rFonts w:asciiTheme="majorHAnsi" w:hAnsiTheme="majorHAnsi"/>
              </w:rPr>
            </w:pPr>
            <w:r w:rsidRPr="00173B03">
              <w:rPr>
                <w:rFonts w:asciiTheme="majorHAnsi" w:hAnsiTheme="majorHAnsi" w:cs="Times New Roman"/>
                <w:sz w:val="24"/>
                <w:szCs w:val="24"/>
              </w:rPr>
              <w:t>Ο</w:t>
            </w:r>
            <w:r w:rsidRPr="00173B03">
              <w:rPr>
                <w:rFonts w:asciiTheme="majorHAnsi" w:hAnsiTheme="majorHAnsi" w:cs="Times New Roman"/>
                <w:sz w:val="24"/>
                <w:szCs w:val="24"/>
              </w:rPr>
              <w:t xml:space="preserve">ι εκπαιδευτικοί που συμμετέχουν σε βιωματικές επιμορφώσεις </w:t>
            </w:r>
            <w:proofErr w:type="spellStart"/>
            <w:r w:rsidRPr="00173B03">
              <w:rPr>
                <w:rFonts w:asciiTheme="majorHAnsi" w:hAnsiTheme="majorHAnsi" w:cs="Times New Roman"/>
                <w:sz w:val="24"/>
                <w:szCs w:val="24"/>
              </w:rPr>
              <w:t>STEM</w:t>
            </w:r>
            <w:proofErr w:type="spellEnd"/>
            <w:r w:rsidRPr="00173B03">
              <w:rPr>
                <w:rFonts w:asciiTheme="majorHAnsi" w:hAnsiTheme="majorHAnsi" w:cs="Times New Roman"/>
                <w:sz w:val="24"/>
                <w:szCs w:val="24"/>
              </w:rPr>
              <w:t xml:space="preserve"> παρουσιάζουν πιο έντονη χρήση διαφοροποιημένου διδακτικού </w:t>
            </w:r>
            <w:r w:rsidRPr="00173B03">
              <w:rPr>
                <w:rFonts w:asciiTheme="majorHAnsi" w:hAnsiTheme="majorHAnsi" w:cs="Times New Roman"/>
                <w:sz w:val="24"/>
                <w:szCs w:val="24"/>
              </w:rPr>
              <w:lastRenderedPageBreak/>
              <w:t>υλικού και υψηλότερο επίπεδο ενσωμάτωσης δεξιοτήτων επίλυσης προβλημάτων και δυσκολιών στο πλαίσιο του μαθήματός τους</w:t>
            </w:r>
            <w:r w:rsidRPr="00173B03">
              <w:rPr>
                <w:rFonts w:asciiTheme="majorHAnsi" w:hAnsiTheme="majorHAnsi" w:cs="Times New Roman"/>
                <w:sz w:val="24"/>
                <w:szCs w:val="24"/>
              </w:rPr>
              <w:t>.</w:t>
            </w:r>
          </w:p>
        </w:tc>
      </w:tr>
      <w:tr w:rsidR="00173B03" w:rsidRPr="00173B03" w14:paraId="2014AE71" w14:textId="77777777" w:rsidTr="00173B03">
        <w:tc>
          <w:tcPr>
            <w:tcW w:w="4577" w:type="dxa"/>
          </w:tcPr>
          <w:p w14:paraId="4A34A55B" w14:textId="7EF5155A" w:rsidR="00173B03" w:rsidRPr="00173B03" w:rsidRDefault="00173B03" w:rsidP="00915A06">
            <w:pPr>
              <w:rPr>
                <w:rFonts w:asciiTheme="majorHAnsi" w:hAnsiTheme="majorHAnsi" w:cs="Times New Roman"/>
                <w:b/>
                <w:bCs/>
                <w:sz w:val="24"/>
                <w:szCs w:val="24"/>
              </w:rPr>
            </w:pPr>
            <w:proofErr w:type="spellStart"/>
            <w:r w:rsidRPr="00173B03">
              <w:rPr>
                <w:rFonts w:asciiTheme="majorHAnsi" w:hAnsiTheme="majorHAnsi" w:cs="Times New Roman"/>
                <w:sz w:val="24"/>
                <w:szCs w:val="24"/>
              </w:rPr>
              <w:lastRenderedPageBreak/>
              <w:t>Asterhan</w:t>
            </w:r>
            <w:proofErr w:type="spellEnd"/>
            <w:r w:rsidRPr="00173B03">
              <w:rPr>
                <w:rFonts w:asciiTheme="majorHAnsi" w:hAnsiTheme="majorHAnsi" w:cs="Times New Roman"/>
                <w:sz w:val="24"/>
                <w:szCs w:val="24"/>
              </w:rPr>
              <w:t xml:space="preserve"> &amp; </w:t>
            </w:r>
            <w:proofErr w:type="spellStart"/>
            <w:r w:rsidRPr="00173B03">
              <w:rPr>
                <w:rFonts w:asciiTheme="majorHAnsi" w:hAnsiTheme="majorHAnsi" w:cs="Times New Roman"/>
                <w:sz w:val="24"/>
                <w:szCs w:val="24"/>
              </w:rPr>
              <w:t>Lefstein</w:t>
            </w:r>
            <w:proofErr w:type="spellEnd"/>
            <w:r w:rsidRPr="00173B03">
              <w:rPr>
                <w:rFonts w:asciiTheme="majorHAnsi" w:hAnsiTheme="majorHAnsi" w:cs="Times New Roman"/>
                <w:sz w:val="24"/>
                <w:szCs w:val="24"/>
              </w:rPr>
              <w:t xml:space="preserve">, </w:t>
            </w:r>
            <w:r w:rsidRPr="00173B03">
              <w:rPr>
                <w:rFonts w:asciiTheme="majorHAnsi" w:hAnsiTheme="majorHAnsi" w:cs="Times New Roman"/>
                <w:sz w:val="24"/>
                <w:szCs w:val="24"/>
              </w:rPr>
              <w:t>(</w:t>
            </w:r>
            <w:r w:rsidRPr="00173B03">
              <w:rPr>
                <w:rFonts w:asciiTheme="majorHAnsi" w:hAnsiTheme="majorHAnsi" w:cs="Times New Roman"/>
                <w:sz w:val="24"/>
                <w:szCs w:val="24"/>
              </w:rPr>
              <w:t>2023</w:t>
            </w:r>
            <w:r w:rsidRPr="00173B03">
              <w:rPr>
                <w:rFonts w:asciiTheme="majorHAnsi" w:hAnsiTheme="majorHAnsi" w:cs="Times New Roman"/>
                <w:sz w:val="24"/>
                <w:szCs w:val="24"/>
              </w:rPr>
              <w:t>)</w:t>
            </w:r>
          </w:p>
        </w:tc>
        <w:tc>
          <w:tcPr>
            <w:tcW w:w="3719" w:type="dxa"/>
            <w:gridSpan w:val="2"/>
          </w:tcPr>
          <w:p w14:paraId="60B8795C" w14:textId="17D8985C" w:rsidR="00173B03" w:rsidRPr="00173B03" w:rsidRDefault="00173B03" w:rsidP="00173B03">
            <w:pPr>
              <w:tabs>
                <w:tab w:val="left" w:pos="1112"/>
              </w:tabs>
              <w:rPr>
                <w:rFonts w:asciiTheme="majorHAnsi" w:hAnsiTheme="majorHAnsi" w:cs="Times New Roman"/>
                <w:sz w:val="24"/>
                <w:szCs w:val="24"/>
              </w:rPr>
            </w:pPr>
            <w:r w:rsidRPr="00173B03">
              <w:rPr>
                <w:rFonts w:asciiTheme="majorHAnsi" w:hAnsiTheme="majorHAnsi" w:cs="Times New Roman"/>
                <w:sz w:val="24"/>
                <w:szCs w:val="24"/>
              </w:rPr>
              <w:t>Η</w:t>
            </w:r>
            <w:r w:rsidRPr="00173B03">
              <w:rPr>
                <w:rFonts w:asciiTheme="majorHAnsi" w:hAnsiTheme="majorHAnsi" w:cs="Times New Roman"/>
                <w:sz w:val="24"/>
                <w:szCs w:val="24"/>
              </w:rPr>
              <w:t xml:space="preserve"> επιμόρφωση παρουσιάζει ουσιαστικά αποτελέσματα όταν είναι </w:t>
            </w:r>
            <w:proofErr w:type="spellStart"/>
            <w:r w:rsidRPr="00173B03">
              <w:rPr>
                <w:rFonts w:asciiTheme="majorHAnsi" w:hAnsiTheme="majorHAnsi" w:cs="Times New Roman"/>
                <w:sz w:val="24"/>
                <w:szCs w:val="24"/>
              </w:rPr>
              <w:t>στοχευμένη</w:t>
            </w:r>
            <w:proofErr w:type="spellEnd"/>
            <w:r w:rsidRPr="00173B03">
              <w:rPr>
                <w:rFonts w:asciiTheme="majorHAnsi" w:hAnsiTheme="majorHAnsi" w:cs="Times New Roman"/>
                <w:sz w:val="24"/>
                <w:szCs w:val="24"/>
              </w:rPr>
              <w:t xml:space="preserve"> και έχει άμεση σύνδεση με πρακτική εφαρμογή</w:t>
            </w:r>
            <w:r w:rsidRPr="00173B03">
              <w:rPr>
                <w:rFonts w:asciiTheme="majorHAnsi" w:hAnsiTheme="majorHAnsi" w:cs="Times New Roman"/>
                <w:sz w:val="24"/>
                <w:szCs w:val="24"/>
              </w:rPr>
              <w:t>.</w:t>
            </w:r>
          </w:p>
        </w:tc>
      </w:tr>
    </w:tbl>
    <w:p w14:paraId="39DBABB8" w14:textId="77777777" w:rsidR="00173B03" w:rsidRPr="00173B03" w:rsidRDefault="00173B03" w:rsidP="00915A06">
      <w:pPr>
        <w:rPr>
          <w:rFonts w:asciiTheme="majorHAnsi" w:hAnsiTheme="majorHAnsi"/>
        </w:rPr>
      </w:pPr>
    </w:p>
    <w:tbl>
      <w:tblPr>
        <w:tblStyle w:val="aa"/>
        <w:tblW w:w="0" w:type="auto"/>
        <w:tblLook w:val="04A0" w:firstRow="1" w:lastRow="0" w:firstColumn="1" w:lastColumn="0" w:noHBand="0" w:noVBand="1"/>
      </w:tblPr>
      <w:tblGrid>
        <w:gridCol w:w="4673"/>
        <w:gridCol w:w="3371"/>
        <w:gridCol w:w="252"/>
      </w:tblGrid>
      <w:tr w:rsidR="00173B03" w:rsidRPr="00173B03" w14:paraId="0D3EC2C3" w14:textId="024395F4" w:rsidTr="00173B03">
        <w:tc>
          <w:tcPr>
            <w:tcW w:w="8044" w:type="dxa"/>
            <w:gridSpan w:val="2"/>
          </w:tcPr>
          <w:p w14:paraId="0AD0F474" w14:textId="3CA00764" w:rsidR="00173B03" w:rsidRPr="00173B03" w:rsidRDefault="00173B03" w:rsidP="00173B03">
            <w:pPr>
              <w:pStyle w:val="2"/>
              <w:spacing w:line="360" w:lineRule="auto"/>
              <w:jc w:val="both"/>
              <w:rPr>
                <w:rFonts w:eastAsiaTheme="minorHAnsi" w:cs="Times New Roman"/>
                <w:b/>
                <w:bCs/>
                <w:color w:val="auto"/>
                <w:sz w:val="24"/>
                <w:szCs w:val="24"/>
              </w:rPr>
            </w:pPr>
            <w:r w:rsidRPr="00173B03">
              <w:rPr>
                <w:rFonts w:eastAsiaTheme="minorHAnsi" w:cs="Times New Roman"/>
                <w:b/>
                <w:bCs/>
                <w:color w:val="auto"/>
                <w:sz w:val="24"/>
                <w:szCs w:val="24"/>
              </w:rPr>
              <w:t xml:space="preserve">4.2 Επαγγελματική ανάπτυξη και αυτοαποτελεσματικότητα </w:t>
            </w:r>
          </w:p>
        </w:tc>
        <w:tc>
          <w:tcPr>
            <w:tcW w:w="252" w:type="dxa"/>
          </w:tcPr>
          <w:p w14:paraId="75DC7526" w14:textId="77777777" w:rsidR="00173B03" w:rsidRPr="00173B03" w:rsidRDefault="00173B03" w:rsidP="00173B03">
            <w:pPr>
              <w:pStyle w:val="2"/>
              <w:spacing w:line="360" w:lineRule="auto"/>
              <w:jc w:val="both"/>
              <w:rPr>
                <w:rFonts w:eastAsiaTheme="minorHAnsi" w:cs="Times New Roman"/>
                <w:b/>
                <w:bCs/>
                <w:color w:val="auto"/>
                <w:sz w:val="24"/>
                <w:szCs w:val="24"/>
              </w:rPr>
            </w:pPr>
          </w:p>
        </w:tc>
      </w:tr>
      <w:tr w:rsidR="00173B03" w:rsidRPr="00173B03" w14:paraId="2B8E6697" w14:textId="258725E6" w:rsidTr="00173B03">
        <w:tc>
          <w:tcPr>
            <w:tcW w:w="4673" w:type="dxa"/>
          </w:tcPr>
          <w:p w14:paraId="3BC2644B" w14:textId="3233D441" w:rsidR="00173B03" w:rsidRPr="00173B03" w:rsidRDefault="00173B03" w:rsidP="00173B03">
            <w:pPr>
              <w:spacing w:line="360" w:lineRule="auto"/>
              <w:jc w:val="both"/>
              <w:rPr>
                <w:rFonts w:asciiTheme="majorHAnsi" w:hAnsiTheme="majorHAnsi" w:cs="Times New Roman"/>
                <w:sz w:val="24"/>
                <w:szCs w:val="24"/>
              </w:rPr>
            </w:pPr>
            <w:proofErr w:type="spellStart"/>
            <w:r w:rsidRPr="00173B03">
              <w:rPr>
                <w:rFonts w:asciiTheme="majorHAnsi" w:hAnsiTheme="majorHAnsi" w:cs="Times New Roman"/>
                <w:sz w:val="24"/>
                <w:szCs w:val="24"/>
              </w:rPr>
              <w:t>Donitsa-Schmidt</w:t>
            </w:r>
            <w:proofErr w:type="spellEnd"/>
            <w:r w:rsidRPr="00173B03">
              <w:rPr>
                <w:rFonts w:asciiTheme="majorHAnsi" w:hAnsiTheme="majorHAnsi" w:cs="Times New Roman"/>
                <w:sz w:val="24"/>
                <w:szCs w:val="24"/>
              </w:rPr>
              <w:t xml:space="preserve"> &amp; </w:t>
            </w:r>
            <w:proofErr w:type="spellStart"/>
            <w:r w:rsidRPr="00173B03">
              <w:rPr>
                <w:rFonts w:asciiTheme="majorHAnsi" w:hAnsiTheme="majorHAnsi" w:cs="Times New Roman"/>
                <w:sz w:val="24"/>
                <w:szCs w:val="24"/>
              </w:rPr>
              <w:t>Ramot</w:t>
            </w:r>
            <w:proofErr w:type="spellEnd"/>
            <w:r w:rsidRPr="00173B03">
              <w:rPr>
                <w:rFonts w:asciiTheme="majorHAnsi" w:hAnsiTheme="majorHAnsi" w:cs="Times New Roman"/>
                <w:sz w:val="24"/>
                <w:szCs w:val="24"/>
              </w:rPr>
              <w:t xml:space="preserve"> </w:t>
            </w:r>
            <w:r w:rsidRPr="00173B03">
              <w:rPr>
                <w:rFonts w:asciiTheme="majorHAnsi" w:hAnsiTheme="majorHAnsi" w:cs="Times New Roman"/>
                <w:sz w:val="24"/>
                <w:szCs w:val="24"/>
              </w:rPr>
              <w:t>(</w:t>
            </w:r>
            <w:r w:rsidRPr="00173B03">
              <w:rPr>
                <w:rFonts w:asciiTheme="majorHAnsi" w:hAnsiTheme="majorHAnsi" w:cs="Times New Roman"/>
                <w:sz w:val="24"/>
                <w:szCs w:val="24"/>
              </w:rPr>
              <w:t>2020)</w:t>
            </w:r>
          </w:p>
        </w:tc>
        <w:tc>
          <w:tcPr>
            <w:tcW w:w="3623" w:type="dxa"/>
            <w:gridSpan w:val="2"/>
          </w:tcPr>
          <w:p w14:paraId="4CC5B2F5" w14:textId="276F207D" w:rsidR="00173B03" w:rsidRPr="00173B03" w:rsidRDefault="00173B03" w:rsidP="00915A06">
            <w:pPr>
              <w:rPr>
                <w:rFonts w:asciiTheme="majorHAnsi" w:hAnsiTheme="majorHAnsi"/>
              </w:rPr>
            </w:pPr>
            <w:r w:rsidRPr="00173B03">
              <w:rPr>
                <w:rFonts w:asciiTheme="majorHAnsi" w:hAnsiTheme="majorHAnsi" w:cs="Times New Roman"/>
                <w:sz w:val="24"/>
                <w:szCs w:val="24"/>
              </w:rPr>
              <w:t xml:space="preserve">Οι </w:t>
            </w:r>
            <w:r w:rsidRPr="00173B03">
              <w:rPr>
                <w:rFonts w:asciiTheme="majorHAnsi" w:hAnsiTheme="majorHAnsi" w:cs="Times New Roman"/>
                <w:sz w:val="24"/>
                <w:szCs w:val="24"/>
              </w:rPr>
              <w:t xml:space="preserve">εκπαιδευτικοί οι οποίοι έλαβαν μέρος σε συστηματικές δράσεις επαγγελματικής μάθησης εμφάνισαν υψηλότερο επίπεδο </w:t>
            </w:r>
            <w:proofErr w:type="spellStart"/>
            <w:r w:rsidRPr="00173B03">
              <w:rPr>
                <w:rFonts w:asciiTheme="majorHAnsi" w:hAnsiTheme="majorHAnsi" w:cs="Times New Roman"/>
                <w:sz w:val="24"/>
                <w:szCs w:val="24"/>
              </w:rPr>
              <w:t>αυτοαποτελεσματικότητας</w:t>
            </w:r>
            <w:proofErr w:type="spellEnd"/>
            <w:r w:rsidRPr="00173B03">
              <w:rPr>
                <w:rFonts w:asciiTheme="majorHAnsi" w:hAnsiTheme="majorHAnsi" w:cs="Times New Roman"/>
                <w:sz w:val="24"/>
                <w:szCs w:val="24"/>
              </w:rPr>
              <w:t>.</w:t>
            </w:r>
          </w:p>
        </w:tc>
      </w:tr>
      <w:tr w:rsidR="00173B03" w:rsidRPr="00173B03" w14:paraId="289F0DB6" w14:textId="576F4901" w:rsidTr="00173B03">
        <w:tc>
          <w:tcPr>
            <w:tcW w:w="4673" w:type="dxa"/>
          </w:tcPr>
          <w:p w14:paraId="1102846D" w14:textId="737CD119" w:rsidR="00173B03" w:rsidRPr="00173B03" w:rsidRDefault="00173B03" w:rsidP="00915A06">
            <w:pPr>
              <w:rPr>
                <w:rFonts w:asciiTheme="majorHAnsi" w:hAnsiTheme="majorHAnsi"/>
              </w:rPr>
            </w:pPr>
            <w:proofErr w:type="spellStart"/>
            <w:r w:rsidRPr="00173B03">
              <w:rPr>
                <w:rFonts w:asciiTheme="majorHAnsi" w:hAnsiTheme="majorHAnsi" w:cs="Times New Roman"/>
                <w:sz w:val="24"/>
                <w:szCs w:val="24"/>
              </w:rPr>
              <w:t>Pyhältö</w:t>
            </w:r>
            <w:proofErr w:type="spellEnd"/>
            <w:r w:rsidRPr="00173B03">
              <w:rPr>
                <w:rFonts w:asciiTheme="majorHAnsi" w:hAnsiTheme="majorHAnsi" w:cs="Times New Roman"/>
                <w:sz w:val="24"/>
                <w:szCs w:val="24"/>
              </w:rPr>
              <w:t xml:space="preserve"> </w:t>
            </w:r>
            <w:proofErr w:type="spellStart"/>
            <w:r w:rsidRPr="00173B03">
              <w:rPr>
                <w:rFonts w:asciiTheme="majorHAnsi" w:hAnsiTheme="majorHAnsi" w:cs="Times New Roman"/>
                <w:sz w:val="24"/>
                <w:szCs w:val="24"/>
              </w:rPr>
              <w:t>et</w:t>
            </w:r>
            <w:proofErr w:type="spellEnd"/>
            <w:r w:rsidRPr="00173B03">
              <w:rPr>
                <w:rFonts w:asciiTheme="majorHAnsi" w:hAnsiTheme="majorHAnsi" w:cs="Times New Roman"/>
                <w:sz w:val="24"/>
                <w:szCs w:val="24"/>
              </w:rPr>
              <w:t xml:space="preserve"> </w:t>
            </w:r>
            <w:proofErr w:type="spellStart"/>
            <w:r w:rsidRPr="00173B03">
              <w:rPr>
                <w:rFonts w:asciiTheme="majorHAnsi" w:hAnsiTheme="majorHAnsi" w:cs="Times New Roman"/>
                <w:sz w:val="24"/>
                <w:szCs w:val="24"/>
              </w:rPr>
              <w:t>al</w:t>
            </w:r>
            <w:proofErr w:type="spellEnd"/>
            <w:r w:rsidRPr="00173B03">
              <w:rPr>
                <w:rFonts w:asciiTheme="majorHAnsi" w:hAnsiTheme="majorHAnsi" w:cs="Times New Roman"/>
                <w:sz w:val="24"/>
                <w:szCs w:val="24"/>
              </w:rPr>
              <w:t xml:space="preserve">. </w:t>
            </w:r>
            <w:r w:rsidRPr="00173B03">
              <w:rPr>
                <w:rFonts w:asciiTheme="majorHAnsi" w:hAnsiTheme="majorHAnsi" w:cs="Times New Roman"/>
                <w:sz w:val="24"/>
                <w:szCs w:val="24"/>
              </w:rPr>
              <w:t>(</w:t>
            </w:r>
            <w:r w:rsidRPr="00173B03">
              <w:rPr>
                <w:rFonts w:asciiTheme="majorHAnsi" w:hAnsiTheme="majorHAnsi" w:cs="Times New Roman"/>
                <w:sz w:val="24"/>
                <w:szCs w:val="24"/>
              </w:rPr>
              <w:t>2014</w:t>
            </w:r>
            <w:r w:rsidRPr="00173B03">
              <w:rPr>
                <w:rFonts w:asciiTheme="majorHAnsi" w:hAnsiTheme="majorHAnsi" w:cs="Times New Roman"/>
                <w:sz w:val="24"/>
                <w:szCs w:val="24"/>
              </w:rPr>
              <w:t>)</w:t>
            </w:r>
          </w:p>
        </w:tc>
        <w:tc>
          <w:tcPr>
            <w:tcW w:w="3623" w:type="dxa"/>
            <w:gridSpan w:val="2"/>
          </w:tcPr>
          <w:p w14:paraId="635089B2" w14:textId="4C39198D" w:rsidR="00173B03" w:rsidRPr="00173B03" w:rsidRDefault="00173B03" w:rsidP="00915A06">
            <w:pPr>
              <w:rPr>
                <w:rFonts w:asciiTheme="majorHAnsi" w:hAnsiTheme="majorHAnsi"/>
              </w:rPr>
            </w:pPr>
            <w:r w:rsidRPr="00173B03">
              <w:rPr>
                <w:rFonts w:asciiTheme="majorHAnsi" w:hAnsiTheme="majorHAnsi" w:cs="Times New Roman"/>
                <w:sz w:val="24"/>
                <w:szCs w:val="24"/>
              </w:rPr>
              <w:t xml:space="preserve">Η </w:t>
            </w:r>
            <w:r w:rsidRPr="00173B03">
              <w:rPr>
                <w:rFonts w:asciiTheme="majorHAnsi" w:hAnsiTheme="majorHAnsi" w:cs="Times New Roman"/>
                <w:sz w:val="24"/>
                <w:szCs w:val="24"/>
              </w:rPr>
              <w:t xml:space="preserve">συμμετοχή σε επαγγελματικές κοινότητες μάθησης μπορεί να επιδράσει έντονα και θετικά στο επίπεδο </w:t>
            </w:r>
            <w:proofErr w:type="spellStart"/>
            <w:r w:rsidRPr="00173B03">
              <w:rPr>
                <w:rFonts w:asciiTheme="majorHAnsi" w:hAnsiTheme="majorHAnsi" w:cs="Times New Roman"/>
                <w:sz w:val="24"/>
                <w:szCs w:val="24"/>
              </w:rPr>
              <w:t>αυτοαποτελεσματικότητας</w:t>
            </w:r>
            <w:proofErr w:type="spellEnd"/>
            <w:r w:rsidRPr="00173B03">
              <w:rPr>
                <w:rFonts w:asciiTheme="majorHAnsi" w:hAnsiTheme="majorHAnsi" w:cs="Times New Roman"/>
                <w:sz w:val="24"/>
                <w:szCs w:val="24"/>
              </w:rPr>
              <w:t>.</w:t>
            </w:r>
          </w:p>
        </w:tc>
      </w:tr>
      <w:tr w:rsidR="00173B03" w:rsidRPr="00173B03" w14:paraId="6CBD1B84" w14:textId="23BF65CE" w:rsidTr="00173B03">
        <w:tc>
          <w:tcPr>
            <w:tcW w:w="4673" w:type="dxa"/>
          </w:tcPr>
          <w:p w14:paraId="78DDB6DC" w14:textId="166E968A" w:rsidR="00173B03" w:rsidRPr="00173B03" w:rsidRDefault="00173B03" w:rsidP="00915A06">
            <w:pPr>
              <w:rPr>
                <w:rFonts w:asciiTheme="majorHAnsi" w:hAnsiTheme="majorHAnsi"/>
              </w:rPr>
            </w:pPr>
            <w:proofErr w:type="spellStart"/>
            <w:r w:rsidRPr="00173B03">
              <w:rPr>
                <w:rFonts w:asciiTheme="majorHAnsi" w:hAnsiTheme="majorHAnsi" w:cs="Times New Roman"/>
                <w:sz w:val="24"/>
                <w:szCs w:val="24"/>
              </w:rPr>
              <w:t>Richards</w:t>
            </w:r>
            <w:proofErr w:type="spellEnd"/>
            <w:r w:rsidRPr="00173B03">
              <w:rPr>
                <w:rFonts w:asciiTheme="majorHAnsi" w:hAnsiTheme="majorHAnsi" w:cs="Times New Roman"/>
                <w:sz w:val="24"/>
                <w:szCs w:val="24"/>
              </w:rPr>
              <w:t xml:space="preserve"> </w:t>
            </w:r>
            <w:proofErr w:type="spellStart"/>
            <w:r w:rsidRPr="00173B03">
              <w:rPr>
                <w:rFonts w:asciiTheme="majorHAnsi" w:hAnsiTheme="majorHAnsi" w:cs="Times New Roman"/>
                <w:sz w:val="24"/>
                <w:szCs w:val="24"/>
              </w:rPr>
              <w:t>et</w:t>
            </w:r>
            <w:proofErr w:type="spellEnd"/>
            <w:r w:rsidRPr="00173B03">
              <w:rPr>
                <w:rFonts w:asciiTheme="majorHAnsi" w:hAnsiTheme="majorHAnsi" w:cs="Times New Roman"/>
                <w:sz w:val="24"/>
                <w:szCs w:val="24"/>
              </w:rPr>
              <w:t xml:space="preserve"> </w:t>
            </w:r>
            <w:proofErr w:type="spellStart"/>
            <w:r w:rsidRPr="00173B03">
              <w:rPr>
                <w:rFonts w:asciiTheme="majorHAnsi" w:hAnsiTheme="majorHAnsi" w:cs="Times New Roman"/>
                <w:sz w:val="24"/>
                <w:szCs w:val="24"/>
              </w:rPr>
              <w:t>al</w:t>
            </w:r>
            <w:proofErr w:type="spellEnd"/>
            <w:r w:rsidRPr="00173B03">
              <w:rPr>
                <w:rFonts w:asciiTheme="majorHAnsi" w:hAnsiTheme="majorHAnsi" w:cs="Times New Roman"/>
                <w:sz w:val="24"/>
                <w:szCs w:val="24"/>
              </w:rPr>
              <w:t xml:space="preserve">. </w:t>
            </w:r>
            <w:r w:rsidRPr="00173B03">
              <w:rPr>
                <w:rFonts w:asciiTheme="majorHAnsi" w:hAnsiTheme="majorHAnsi" w:cs="Times New Roman"/>
                <w:sz w:val="24"/>
                <w:szCs w:val="24"/>
              </w:rPr>
              <w:t>(</w:t>
            </w:r>
            <w:r w:rsidRPr="00173B03">
              <w:rPr>
                <w:rFonts w:asciiTheme="majorHAnsi" w:hAnsiTheme="majorHAnsi" w:cs="Times New Roman"/>
                <w:sz w:val="24"/>
                <w:szCs w:val="24"/>
              </w:rPr>
              <w:t>2019</w:t>
            </w:r>
            <w:r w:rsidRPr="00173B03">
              <w:rPr>
                <w:rFonts w:asciiTheme="majorHAnsi" w:hAnsiTheme="majorHAnsi" w:cs="Times New Roman"/>
                <w:sz w:val="24"/>
                <w:szCs w:val="24"/>
              </w:rPr>
              <w:t>)</w:t>
            </w:r>
          </w:p>
        </w:tc>
        <w:tc>
          <w:tcPr>
            <w:tcW w:w="3623" w:type="dxa"/>
            <w:gridSpan w:val="2"/>
          </w:tcPr>
          <w:p w14:paraId="00B15825" w14:textId="51EE3780" w:rsidR="00173B03" w:rsidRPr="00173B03" w:rsidRDefault="00173B03" w:rsidP="00173B03">
            <w:pPr>
              <w:rPr>
                <w:rFonts w:asciiTheme="majorHAnsi" w:hAnsiTheme="majorHAnsi"/>
              </w:rPr>
            </w:pPr>
            <w:r w:rsidRPr="00173B03">
              <w:rPr>
                <w:rFonts w:asciiTheme="majorHAnsi" w:hAnsiTheme="majorHAnsi" w:cs="Times New Roman"/>
                <w:sz w:val="24"/>
                <w:szCs w:val="24"/>
              </w:rPr>
              <w:t>Ο</w:t>
            </w:r>
            <w:r w:rsidRPr="00173B03">
              <w:rPr>
                <w:rFonts w:asciiTheme="majorHAnsi" w:hAnsiTheme="majorHAnsi" w:cs="Times New Roman"/>
                <w:sz w:val="24"/>
                <w:szCs w:val="24"/>
              </w:rPr>
              <w:t xml:space="preserve">ι εκπαιδευτικοί του μαθήματος Φυσικής Αγωγής που έλαβαν μέρος σε εκτεταμένες επιμορφώσεις μεγάλης διάρκειας εμφανίζουν υψηλότερο επίπεδο </w:t>
            </w:r>
            <w:proofErr w:type="spellStart"/>
            <w:r w:rsidRPr="00173B03">
              <w:rPr>
                <w:rFonts w:asciiTheme="majorHAnsi" w:hAnsiTheme="majorHAnsi" w:cs="Times New Roman"/>
                <w:sz w:val="24"/>
                <w:szCs w:val="24"/>
              </w:rPr>
              <w:t>αυτοαποτελεσματικότητας</w:t>
            </w:r>
            <w:proofErr w:type="spellEnd"/>
            <w:r w:rsidRPr="00173B03">
              <w:rPr>
                <w:rFonts w:asciiTheme="majorHAnsi" w:hAnsiTheme="majorHAnsi" w:cs="Times New Roman"/>
                <w:sz w:val="24"/>
                <w:szCs w:val="24"/>
              </w:rPr>
              <w:t xml:space="preserve"> και ταυτόχρονα υψηλότερο επίπεδο προσαρμοστικότητας όσον αφορά τις παιδαγωγικές προκλήσεις</w:t>
            </w:r>
          </w:p>
        </w:tc>
      </w:tr>
      <w:tr w:rsidR="00173B03" w:rsidRPr="00173B03" w14:paraId="75513412" w14:textId="2E8F41C8" w:rsidTr="00173B03">
        <w:tc>
          <w:tcPr>
            <w:tcW w:w="4673" w:type="dxa"/>
          </w:tcPr>
          <w:p w14:paraId="2DD59210" w14:textId="1901E894" w:rsidR="00173B03" w:rsidRPr="00173B03" w:rsidRDefault="00173B03" w:rsidP="00915A06">
            <w:pPr>
              <w:rPr>
                <w:rFonts w:asciiTheme="majorHAnsi" w:hAnsiTheme="majorHAnsi"/>
                <w:b/>
                <w:bCs/>
              </w:rPr>
            </w:pPr>
            <w:proofErr w:type="spellStart"/>
            <w:r w:rsidRPr="00173B03">
              <w:rPr>
                <w:rFonts w:asciiTheme="majorHAnsi" w:hAnsiTheme="majorHAnsi" w:cs="Times New Roman"/>
                <w:sz w:val="24"/>
                <w:szCs w:val="24"/>
              </w:rPr>
              <w:t>Rahmaditha</w:t>
            </w:r>
            <w:proofErr w:type="spellEnd"/>
            <w:r w:rsidRPr="00173B03">
              <w:rPr>
                <w:rFonts w:asciiTheme="majorHAnsi" w:hAnsiTheme="majorHAnsi" w:cs="Times New Roman"/>
                <w:sz w:val="24"/>
                <w:szCs w:val="24"/>
              </w:rPr>
              <w:t xml:space="preserve"> &amp; </w:t>
            </w:r>
            <w:proofErr w:type="spellStart"/>
            <w:r w:rsidRPr="00173B03">
              <w:rPr>
                <w:rFonts w:asciiTheme="majorHAnsi" w:hAnsiTheme="majorHAnsi" w:cs="Times New Roman"/>
                <w:sz w:val="24"/>
                <w:szCs w:val="24"/>
              </w:rPr>
              <w:t>Putra</w:t>
            </w:r>
            <w:proofErr w:type="spellEnd"/>
            <w:r w:rsidRPr="00173B03">
              <w:rPr>
                <w:rFonts w:asciiTheme="majorHAnsi" w:hAnsiTheme="majorHAnsi" w:cs="Times New Roman"/>
                <w:sz w:val="24"/>
                <w:szCs w:val="24"/>
              </w:rPr>
              <w:t xml:space="preserve"> </w:t>
            </w:r>
            <w:r w:rsidRPr="00173B03">
              <w:rPr>
                <w:rFonts w:asciiTheme="majorHAnsi" w:hAnsiTheme="majorHAnsi" w:cs="Times New Roman"/>
                <w:sz w:val="24"/>
                <w:szCs w:val="24"/>
              </w:rPr>
              <w:t>(</w:t>
            </w:r>
            <w:r w:rsidRPr="00173B03">
              <w:rPr>
                <w:rFonts w:asciiTheme="majorHAnsi" w:hAnsiTheme="majorHAnsi" w:cs="Times New Roman"/>
                <w:sz w:val="24"/>
                <w:szCs w:val="24"/>
              </w:rPr>
              <w:t>2024)</w:t>
            </w:r>
          </w:p>
        </w:tc>
        <w:tc>
          <w:tcPr>
            <w:tcW w:w="3623" w:type="dxa"/>
            <w:gridSpan w:val="2"/>
          </w:tcPr>
          <w:p w14:paraId="48DB744B" w14:textId="6AAAC755" w:rsidR="00173B03" w:rsidRPr="00173B03" w:rsidRDefault="00173B03" w:rsidP="00915A06">
            <w:pPr>
              <w:rPr>
                <w:rFonts w:asciiTheme="majorHAnsi" w:hAnsiTheme="majorHAnsi"/>
              </w:rPr>
            </w:pPr>
            <w:r w:rsidRPr="00173B03">
              <w:rPr>
                <w:rFonts w:asciiTheme="majorHAnsi" w:hAnsiTheme="majorHAnsi" w:cs="Times New Roman"/>
                <w:sz w:val="24"/>
                <w:szCs w:val="24"/>
              </w:rPr>
              <w:t xml:space="preserve">Η </w:t>
            </w:r>
            <w:r w:rsidRPr="00173B03">
              <w:rPr>
                <w:rFonts w:asciiTheme="majorHAnsi" w:hAnsiTheme="majorHAnsi" w:cs="Times New Roman"/>
                <w:sz w:val="24"/>
                <w:szCs w:val="24"/>
              </w:rPr>
              <w:t>μελέτη που εστιάζει σε γυναίκες εκπαιδευτικούς, αναδεικνύοντας πως η συνεχής επαγγελματική ανάπτυξη μέσα από τη χρήση επιμορφώσεων χρειάζεται και ένα κατάλληλο υποστηρικτικό σχολικό περιβάλλον, έτσι ώστε να οδηγεί στην ενίσχυση της επαγγελματικής τους ταυτότητας</w:t>
            </w:r>
            <w:r w:rsidRPr="00173B03">
              <w:rPr>
                <w:rFonts w:asciiTheme="majorHAnsi" w:hAnsiTheme="majorHAnsi" w:cs="Times New Roman"/>
                <w:sz w:val="24"/>
                <w:szCs w:val="24"/>
              </w:rPr>
              <w:t xml:space="preserve">. </w:t>
            </w:r>
          </w:p>
        </w:tc>
      </w:tr>
      <w:tr w:rsidR="00173B03" w:rsidRPr="00173B03" w14:paraId="0EE3972D" w14:textId="77777777" w:rsidTr="00173B03">
        <w:tc>
          <w:tcPr>
            <w:tcW w:w="4673" w:type="dxa"/>
          </w:tcPr>
          <w:p w14:paraId="2978EB5B" w14:textId="41A8C131" w:rsidR="00173B03" w:rsidRPr="00173B03" w:rsidRDefault="00173B03" w:rsidP="00173B03">
            <w:pPr>
              <w:spacing w:line="360" w:lineRule="auto"/>
              <w:jc w:val="both"/>
              <w:rPr>
                <w:rFonts w:asciiTheme="majorHAnsi" w:hAnsiTheme="majorHAnsi" w:cs="Times New Roman"/>
                <w:sz w:val="24"/>
                <w:szCs w:val="24"/>
              </w:rPr>
            </w:pPr>
            <w:proofErr w:type="spellStart"/>
            <w:r w:rsidRPr="00173B03">
              <w:rPr>
                <w:rFonts w:asciiTheme="majorHAnsi" w:hAnsiTheme="majorHAnsi" w:cs="Times New Roman"/>
                <w:sz w:val="24"/>
                <w:szCs w:val="24"/>
              </w:rPr>
              <w:lastRenderedPageBreak/>
              <w:t>Hendrickx</w:t>
            </w:r>
            <w:proofErr w:type="spellEnd"/>
            <w:r w:rsidRPr="00173B03">
              <w:rPr>
                <w:rFonts w:asciiTheme="majorHAnsi" w:hAnsiTheme="majorHAnsi" w:cs="Times New Roman"/>
                <w:sz w:val="24"/>
                <w:szCs w:val="24"/>
              </w:rPr>
              <w:t xml:space="preserve"> </w:t>
            </w:r>
            <w:proofErr w:type="spellStart"/>
            <w:r w:rsidRPr="00173B03">
              <w:rPr>
                <w:rFonts w:asciiTheme="majorHAnsi" w:hAnsiTheme="majorHAnsi" w:cs="Times New Roman"/>
                <w:sz w:val="24"/>
                <w:szCs w:val="24"/>
              </w:rPr>
              <w:t>et</w:t>
            </w:r>
            <w:proofErr w:type="spellEnd"/>
            <w:r w:rsidRPr="00173B03">
              <w:rPr>
                <w:rFonts w:asciiTheme="majorHAnsi" w:hAnsiTheme="majorHAnsi" w:cs="Times New Roman"/>
                <w:sz w:val="24"/>
                <w:szCs w:val="24"/>
              </w:rPr>
              <w:t xml:space="preserve"> </w:t>
            </w:r>
            <w:proofErr w:type="spellStart"/>
            <w:r w:rsidRPr="00173B03">
              <w:rPr>
                <w:rFonts w:asciiTheme="majorHAnsi" w:hAnsiTheme="majorHAnsi" w:cs="Times New Roman"/>
                <w:sz w:val="24"/>
                <w:szCs w:val="24"/>
              </w:rPr>
              <w:t>al</w:t>
            </w:r>
            <w:proofErr w:type="spellEnd"/>
            <w:r w:rsidRPr="00173B03">
              <w:rPr>
                <w:rFonts w:asciiTheme="majorHAnsi" w:hAnsiTheme="majorHAnsi" w:cs="Times New Roman"/>
                <w:sz w:val="24"/>
                <w:szCs w:val="24"/>
              </w:rPr>
              <w:t>.</w:t>
            </w:r>
            <w:r w:rsidRPr="00173B03">
              <w:rPr>
                <w:rFonts w:asciiTheme="majorHAnsi" w:hAnsiTheme="majorHAnsi" w:cs="Times New Roman"/>
                <w:sz w:val="24"/>
                <w:szCs w:val="24"/>
              </w:rPr>
              <w:t xml:space="preserve"> (</w:t>
            </w:r>
            <w:r w:rsidRPr="00173B03">
              <w:rPr>
                <w:rFonts w:asciiTheme="majorHAnsi" w:hAnsiTheme="majorHAnsi" w:cs="Times New Roman"/>
                <w:sz w:val="24"/>
                <w:szCs w:val="24"/>
              </w:rPr>
              <w:t>2025)</w:t>
            </w:r>
          </w:p>
          <w:p w14:paraId="215FA1C0" w14:textId="77777777" w:rsidR="00173B03" w:rsidRPr="00173B03" w:rsidRDefault="00173B03" w:rsidP="00915A06">
            <w:pPr>
              <w:rPr>
                <w:rFonts w:asciiTheme="majorHAnsi" w:hAnsiTheme="majorHAnsi" w:cs="Times New Roman"/>
                <w:sz w:val="24"/>
                <w:szCs w:val="24"/>
              </w:rPr>
            </w:pPr>
          </w:p>
        </w:tc>
        <w:tc>
          <w:tcPr>
            <w:tcW w:w="3623" w:type="dxa"/>
            <w:gridSpan w:val="2"/>
          </w:tcPr>
          <w:p w14:paraId="6CCCFBC5" w14:textId="2B831506" w:rsidR="00173B03" w:rsidRPr="00173B03" w:rsidRDefault="00173B03" w:rsidP="00915A06">
            <w:pPr>
              <w:rPr>
                <w:rFonts w:asciiTheme="majorHAnsi" w:hAnsiTheme="majorHAnsi" w:cs="Times New Roman"/>
                <w:sz w:val="24"/>
                <w:szCs w:val="24"/>
              </w:rPr>
            </w:pPr>
            <w:r w:rsidRPr="00173B03">
              <w:rPr>
                <w:rFonts w:asciiTheme="majorHAnsi" w:hAnsiTheme="majorHAnsi" w:cs="Times New Roman"/>
                <w:sz w:val="24"/>
                <w:szCs w:val="24"/>
              </w:rPr>
              <w:t>Η</w:t>
            </w:r>
            <w:r w:rsidRPr="00173B03">
              <w:rPr>
                <w:rFonts w:asciiTheme="majorHAnsi" w:hAnsiTheme="majorHAnsi" w:cs="Times New Roman"/>
                <w:sz w:val="24"/>
                <w:szCs w:val="24"/>
              </w:rPr>
              <w:t xml:space="preserve"> εμπλοκή σε </w:t>
            </w:r>
            <w:proofErr w:type="spellStart"/>
            <w:r w:rsidRPr="00173B03">
              <w:rPr>
                <w:rFonts w:asciiTheme="majorHAnsi" w:hAnsiTheme="majorHAnsi" w:cs="Times New Roman"/>
                <w:sz w:val="24"/>
                <w:szCs w:val="24"/>
              </w:rPr>
              <w:t>αναστοχαστικού</w:t>
            </w:r>
            <w:proofErr w:type="spellEnd"/>
            <w:r w:rsidRPr="00173B03">
              <w:rPr>
                <w:rFonts w:asciiTheme="majorHAnsi" w:hAnsiTheme="majorHAnsi" w:cs="Times New Roman"/>
                <w:sz w:val="24"/>
                <w:szCs w:val="24"/>
              </w:rPr>
              <w:t xml:space="preserve"> τύπου κοινότητες οδηγεί σε αυξημένη ικανότητα των εκπαιδευτικών να θέτουν αποτελεσματικούς και ρεαλιστικούς στόχους και να παρακολουθούν την πρόοδό τους, ενώ προσαρμόζουν κατάλληλα τις διδακτικές πρακτικές που εφαρμόζουν</w:t>
            </w:r>
            <w:r w:rsidRPr="00173B03">
              <w:rPr>
                <w:rFonts w:asciiTheme="majorHAnsi" w:hAnsiTheme="majorHAnsi" w:cs="Times New Roman"/>
                <w:sz w:val="24"/>
                <w:szCs w:val="24"/>
              </w:rPr>
              <w:t>.</w:t>
            </w:r>
          </w:p>
        </w:tc>
      </w:tr>
    </w:tbl>
    <w:p w14:paraId="686E896A" w14:textId="77777777" w:rsidR="00173B03" w:rsidRPr="00173B03" w:rsidRDefault="00173B03" w:rsidP="00915A06">
      <w:pPr>
        <w:rPr>
          <w:rFonts w:asciiTheme="majorHAnsi" w:hAnsiTheme="majorHAnsi"/>
        </w:rPr>
      </w:pPr>
    </w:p>
    <w:tbl>
      <w:tblPr>
        <w:tblStyle w:val="aa"/>
        <w:tblW w:w="0" w:type="auto"/>
        <w:tblLook w:val="04A0" w:firstRow="1" w:lastRow="0" w:firstColumn="1" w:lastColumn="0" w:noHBand="0" w:noVBand="1"/>
      </w:tblPr>
      <w:tblGrid>
        <w:gridCol w:w="4148"/>
        <w:gridCol w:w="3896"/>
        <w:gridCol w:w="252"/>
      </w:tblGrid>
      <w:tr w:rsidR="00173B03" w:rsidRPr="00173B03" w14:paraId="3CEBAEFA" w14:textId="77777777" w:rsidTr="00173B03">
        <w:tc>
          <w:tcPr>
            <w:tcW w:w="8044" w:type="dxa"/>
            <w:gridSpan w:val="2"/>
          </w:tcPr>
          <w:p w14:paraId="42906377" w14:textId="3FB3D497" w:rsidR="00173B03" w:rsidRPr="00173B03" w:rsidRDefault="00173B03" w:rsidP="00173B03">
            <w:pPr>
              <w:pStyle w:val="2"/>
              <w:spacing w:line="360" w:lineRule="auto"/>
              <w:jc w:val="both"/>
              <w:rPr>
                <w:rFonts w:eastAsiaTheme="minorHAnsi" w:cs="Times New Roman"/>
                <w:b/>
                <w:bCs/>
                <w:color w:val="auto"/>
                <w:sz w:val="24"/>
                <w:szCs w:val="24"/>
              </w:rPr>
            </w:pPr>
            <w:r w:rsidRPr="00173B03">
              <w:rPr>
                <w:rFonts w:eastAsiaTheme="minorHAnsi" w:cs="Times New Roman"/>
                <w:b/>
                <w:bCs/>
                <w:color w:val="auto"/>
                <w:sz w:val="24"/>
                <w:szCs w:val="24"/>
              </w:rPr>
              <w:t>4.3 Παρά</w:t>
            </w:r>
            <w:r w:rsidRPr="00173B03">
              <w:rPr>
                <w:rFonts w:eastAsiaTheme="minorHAnsi" w:cs="Times New Roman"/>
                <w:b/>
                <w:bCs/>
                <w:color w:val="auto"/>
                <w:sz w:val="24"/>
                <w:szCs w:val="24"/>
              </w:rPr>
              <w:t>γ</w:t>
            </w:r>
            <w:r w:rsidRPr="00173B03">
              <w:rPr>
                <w:rFonts w:eastAsiaTheme="minorHAnsi" w:cs="Times New Roman"/>
                <w:b/>
                <w:bCs/>
                <w:color w:val="auto"/>
                <w:sz w:val="24"/>
                <w:szCs w:val="24"/>
              </w:rPr>
              <w:t>οντες που ενισχύουν την αποτελεσματική επιμόρφωση</w:t>
            </w:r>
          </w:p>
        </w:tc>
        <w:tc>
          <w:tcPr>
            <w:tcW w:w="252" w:type="dxa"/>
          </w:tcPr>
          <w:p w14:paraId="3844A7F2" w14:textId="77777777" w:rsidR="00173B03" w:rsidRPr="00173B03" w:rsidRDefault="00173B03" w:rsidP="00915A06">
            <w:pPr>
              <w:rPr>
                <w:rFonts w:asciiTheme="majorHAnsi" w:hAnsiTheme="majorHAnsi"/>
                <w:b/>
                <w:bCs/>
                <w:sz w:val="24"/>
                <w:szCs w:val="24"/>
              </w:rPr>
            </w:pPr>
          </w:p>
        </w:tc>
      </w:tr>
      <w:tr w:rsidR="00173B03" w:rsidRPr="00173B03" w14:paraId="5026299E" w14:textId="77777777" w:rsidTr="00173B03">
        <w:tc>
          <w:tcPr>
            <w:tcW w:w="4148" w:type="dxa"/>
          </w:tcPr>
          <w:p w14:paraId="38A49246" w14:textId="165AEC67" w:rsidR="00173B03" w:rsidRPr="00173B03" w:rsidRDefault="00173B03" w:rsidP="00915A06">
            <w:pPr>
              <w:rPr>
                <w:rFonts w:asciiTheme="majorHAnsi" w:hAnsiTheme="majorHAnsi"/>
              </w:rPr>
            </w:pPr>
            <w:proofErr w:type="spellStart"/>
            <w:r w:rsidRPr="00173B03">
              <w:rPr>
                <w:rFonts w:asciiTheme="majorHAnsi" w:hAnsiTheme="majorHAnsi" w:cs="Times New Roman"/>
                <w:sz w:val="24"/>
                <w:szCs w:val="24"/>
              </w:rPr>
              <w:t>Dogan</w:t>
            </w:r>
            <w:proofErr w:type="spellEnd"/>
            <w:r w:rsidRPr="00173B03">
              <w:rPr>
                <w:rFonts w:asciiTheme="majorHAnsi" w:hAnsiTheme="majorHAnsi" w:cs="Times New Roman"/>
                <w:sz w:val="24"/>
                <w:szCs w:val="24"/>
              </w:rPr>
              <w:t xml:space="preserve"> &amp; </w:t>
            </w:r>
            <w:proofErr w:type="spellStart"/>
            <w:r w:rsidRPr="00173B03">
              <w:rPr>
                <w:rFonts w:asciiTheme="majorHAnsi" w:hAnsiTheme="majorHAnsi" w:cs="Times New Roman"/>
                <w:sz w:val="24"/>
                <w:szCs w:val="24"/>
              </w:rPr>
              <w:t>Adams</w:t>
            </w:r>
            <w:proofErr w:type="spellEnd"/>
            <w:r w:rsidRPr="00173B03">
              <w:rPr>
                <w:rFonts w:asciiTheme="majorHAnsi" w:hAnsiTheme="majorHAnsi" w:cs="Times New Roman"/>
                <w:sz w:val="24"/>
                <w:szCs w:val="24"/>
              </w:rPr>
              <w:t xml:space="preserve"> </w:t>
            </w:r>
            <w:r w:rsidRPr="00173B03">
              <w:rPr>
                <w:rFonts w:asciiTheme="majorHAnsi" w:hAnsiTheme="majorHAnsi" w:cs="Times New Roman"/>
                <w:sz w:val="24"/>
                <w:szCs w:val="24"/>
              </w:rPr>
              <w:t>(</w:t>
            </w:r>
            <w:r w:rsidRPr="00173B03">
              <w:rPr>
                <w:rFonts w:asciiTheme="majorHAnsi" w:hAnsiTheme="majorHAnsi" w:cs="Times New Roman"/>
                <w:sz w:val="24"/>
                <w:szCs w:val="24"/>
              </w:rPr>
              <w:t>2020)</w:t>
            </w:r>
          </w:p>
        </w:tc>
        <w:tc>
          <w:tcPr>
            <w:tcW w:w="4148" w:type="dxa"/>
            <w:gridSpan w:val="2"/>
          </w:tcPr>
          <w:p w14:paraId="1C8C5F06" w14:textId="7769E2DC" w:rsidR="00173B03" w:rsidRPr="00173B03" w:rsidRDefault="00173B03" w:rsidP="00915A06">
            <w:pPr>
              <w:rPr>
                <w:rFonts w:asciiTheme="majorHAnsi" w:hAnsiTheme="majorHAnsi"/>
              </w:rPr>
            </w:pPr>
            <w:r w:rsidRPr="00173B03">
              <w:rPr>
                <w:rFonts w:asciiTheme="majorHAnsi" w:hAnsiTheme="majorHAnsi" w:cs="Times New Roman"/>
                <w:sz w:val="24"/>
                <w:szCs w:val="24"/>
              </w:rPr>
              <w:t>Ο</w:t>
            </w:r>
            <w:r w:rsidRPr="00173B03">
              <w:rPr>
                <w:rFonts w:asciiTheme="majorHAnsi" w:hAnsiTheme="majorHAnsi" w:cs="Times New Roman"/>
                <w:sz w:val="24"/>
                <w:szCs w:val="24"/>
              </w:rPr>
              <w:t xml:space="preserve">ι επιμορφώσεις που περιλαμβάνουν συνεργατικές μορφές, όπως ο κοινός σχεδιασμός προγραμμάτων σπουδών και ο ομότιμος </w:t>
            </w:r>
            <w:proofErr w:type="spellStart"/>
            <w:r w:rsidRPr="00173B03">
              <w:rPr>
                <w:rFonts w:asciiTheme="majorHAnsi" w:hAnsiTheme="majorHAnsi" w:cs="Times New Roman"/>
                <w:sz w:val="24"/>
                <w:szCs w:val="24"/>
              </w:rPr>
              <w:t>αναστοχασμός</w:t>
            </w:r>
            <w:proofErr w:type="spellEnd"/>
            <w:r w:rsidRPr="00173B03">
              <w:rPr>
                <w:rFonts w:asciiTheme="majorHAnsi" w:hAnsiTheme="majorHAnsi" w:cs="Times New Roman"/>
                <w:sz w:val="24"/>
                <w:szCs w:val="24"/>
              </w:rPr>
              <w:t>, οδηγούν σε αύξηση της εφαρμογής νέων πρακτικών και της επαγγελματικής συνοχής μεταξύ των εκπαιδευτικών</w:t>
            </w:r>
            <w:r w:rsidRPr="00173B03">
              <w:rPr>
                <w:rFonts w:asciiTheme="majorHAnsi" w:hAnsiTheme="majorHAnsi" w:cs="Times New Roman"/>
                <w:sz w:val="24"/>
                <w:szCs w:val="24"/>
              </w:rPr>
              <w:t>.</w:t>
            </w:r>
          </w:p>
        </w:tc>
      </w:tr>
      <w:tr w:rsidR="00173B03" w:rsidRPr="00173B03" w14:paraId="66593DF5" w14:textId="77777777" w:rsidTr="00173B03">
        <w:tc>
          <w:tcPr>
            <w:tcW w:w="4148" w:type="dxa"/>
          </w:tcPr>
          <w:p w14:paraId="63177454" w14:textId="08770C34" w:rsidR="00173B03" w:rsidRPr="00173B03" w:rsidRDefault="00173B03" w:rsidP="00173B03">
            <w:pPr>
              <w:rPr>
                <w:rFonts w:asciiTheme="majorHAnsi" w:hAnsiTheme="majorHAnsi"/>
              </w:rPr>
            </w:pPr>
            <w:proofErr w:type="spellStart"/>
            <w:r w:rsidRPr="00173B03">
              <w:rPr>
                <w:rFonts w:asciiTheme="majorHAnsi" w:hAnsiTheme="majorHAnsi" w:cs="Times New Roman"/>
                <w:sz w:val="24"/>
                <w:szCs w:val="24"/>
              </w:rPr>
              <w:t>Opere</w:t>
            </w:r>
            <w:proofErr w:type="spellEnd"/>
            <w:r w:rsidRPr="00173B03">
              <w:rPr>
                <w:rFonts w:asciiTheme="majorHAnsi" w:hAnsiTheme="majorHAnsi" w:cs="Times New Roman"/>
                <w:sz w:val="24"/>
                <w:szCs w:val="24"/>
              </w:rPr>
              <w:t xml:space="preserve"> </w:t>
            </w:r>
            <w:proofErr w:type="spellStart"/>
            <w:r w:rsidRPr="00173B03">
              <w:rPr>
                <w:rFonts w:asciiTheme="majorHAnsi" w:hAnsiTheme="majorHAnsi" w:cs="Times New Roman"/>
                <w:sz w:val="24"/>
                <w:szCs w:val="24"/>
              </w:rPr>
              <w:t>et</w:t>
            </w:r>
            <w:proofErr w:type="spellEnd"/>
            <w:r w:rsidRPr="00173B03">
              <w:rPr>
                <w:rFonts w:asciiTheme="majorHAnsi" w:hAnsiTheme="majorHAnsi" w:cs="Times New Roman"/>
                <w:sz w:val="24"/>
                <w:szCs w:val="24"/>
              </w:rPr>
              <w:t xml:space="preserve"> </w:t>
            </w:r>
            <w:proofErr w:type="spellStart"/>
            <w:r w:rsidRPr="00173B03">
              <w:rPr>
                <w:rFonts w:asciiTheme="majorHAnsi" w:hAnsiTheme="majorHAnsi" w:cs="Times New Roman"/>
                <w:sz w:val="24"/>
                <w:szCs w:val="24"/>
              </w:rPr>
              <w:t>al</w:t>
            </w:r>
            <w:proofErr w:type="spellEnd"/>
            <w:r w:rsidRPr="00173B03">
              <w:rPr>
                <w:rFonts w:asciiTheme="majorHAnsi" w:hAnsiTheme="majorHAnsi" w:cs="Times New Roman"/>
                <w:sz w:val="24"/>
                <w:szCs w:val="24"/>
              </w:rPr>
              <w:t xml:space="preserve">. </w:t>
            </w:r>
            <w:r w:rsidRPr="00173B03">
              <w:rPr>
                <w:rFonts w:asciiTheme="majorHAnsi" w:hAnsiTheme="majorHAnsi" w:cs="Times New Roman"/>
                <w:sz w:val="24"/>
                <w:szCs w:val="24"/>
              </w:rPr>
              <w:t>(</w:t>
            </w:r>
            <w:r w:rsidRPr="00173B03">
              <w:rPr>
                <w:rFonts w:asciiTheme="majorHAnsi" w:hAnsiTheme="majorHAnsi" w:cs="Times New Roman"/>
                <w:sz w:val="24"/>
                <w:szCs w:val="24"/>
              </w:rPr>
              <w:t>2020)</w:t>
            </w:r>
          </w:p>
        </w:tc>
        <w:tc>
          <w:tcPr>
            <w:tcW w:w="4148" w:type="dxa"/>
            <w:gridSpan w:val="2"/>
          </w:tcPr>
          <w:p w14:paraId="15D6A3DE" w14:textId="5A043D6B" w:rsidR="00173B03" w:rsidRPr="00173B03" w:rsidRDefault="00173B03" w:rsidP="00915A06">
            <w:pPr>
              <w:rPr>
                <w:rFonts w:asciiTheme="majorHAnsi" w:hAnsiTheme="majorHAnsi"/>
              </w:rPr>
            </w:pPr>
            <w:r w:rsidRPr="00173B03">
              <w:rPr>
                <w:rFonts w:asciiTheme="majorHAnsi" w:hAnsiTheme="majorHAnsi" w:cs="Times New Roman"/>
                <w:sz w:val="24"/>
                <w:szCs w:val="24"/>
              </w:rPr>
              <w:t>Τ</w:t>
            </w:r>
            <w:r w:rsidRPr="00173B03">
              <w:rPr>
                <w:rFonts w:asciiTheme="majorHAnsi" w:hAnsiTheme="majorHAnsi" w:cs="Times New Roman"/>
                <w:sz w:val="24"/>
                <w:szCs w:val="24"/>
              </w:rPr>
              <w:t>α προγράμματα μεγαλύτερης διάρκειας και η κατάλληλη ανατροφοδότηση και υποστήριξη παρουσιάζουν σε υψηλότερο βαθμό επίδραση στη διδακτική πρακτική, συγκριτικά με πιο βραχυχρόνια προγράμματα και παρεμβάσεις</w:t>
            </w:r>
            <w:r w:rsidRPr="00173B03">
              <w:rPr>
                <w:rFonts w:asciiTheme="majorHAnsi" w:hAnsiTheme="majorHAnsi" w:cs="Times New Roman"/>
                <w:sz w:val="24"/>
                <w:szCs w:val="24"/>
              </w:rPr>
              <w:t>.</w:t>
            </w:r>
          </w:p>
        </w:tc>
      </w:tr>
      <w:tr w:rsidR="00173B03" w:rsidRPr="00173B03" w14:paraId="67222F5F" w14:textId="77777777" w:rsidTr="00173B03">
        <w:tc>
          <w:tcPr>
            <w:tcW w:w="4148" w:type="dxa"/>
          </w:tcPr>
          <w:p w14:paraId="08AAD6B2" w14:textId="6B38C14B" w:rsidR="00173B03" w:rsidRPr="00173B03" w:rsidRDefault="00173B03" w:rsidP="00915A06">
            <w:pPr>
              <w:rPr>
                <w:rFonts w:asciiTheme="majorHAnsi" w:hAnsiTheme="majorHAnsi"/>
              </w:rPr>
            </w:pPr>
            <w:proofErr w:type="spellStart"/>
            <w:r w:rsidRPr="00173B03">
              <w:rPr>
                <w:rFonts w:asciiTheme="majorHAnsi" w:hAnsiTheme="majorHAnsi" w:cs="Times New Roman"/>
                <w:sz w:val="24"/>
                <w:szCs w:val="24"/>
              </w:rPr>
              <w:t>Kim</w:t>
            </w:r>
            <w:proofErr w:type="spellEnd"/>
            <w:r w:rsidRPr="00173B03">
              <w:rPr>
                <w:rFonts w:asciiTheme="majorHAnsi" w:hAnsiTheme="majorHAnsi" w:cs="Times New Roman"/>
                <w:sz w:val="24"/>
                <w:szCs w:val="24"/>
              </w:rPr>
              <w:t xml:space="preserve"> &amp; </w:t>
            </w:r>
            <w:proofErr w:type="spellStart"/>
            <w:r w:rsidRPr="00173B03">
              <w:rPr>
                <w:rFonts w:asciiTheme="majorHAnsi" w:hAnsiTheme="majorHAnsi" w:cs="Times New Roman"/>
                <w:sz w:val="24"/>
                <w:szCs w:val="24"/>
              </w:rPr>
              <w:t>Asbury</w:t>
            </w:r>
            <w:proofErr w:type="spellEnd"/>
            <w:r w:rsidRPr="00173B03">
              <w:rPr>
                <w:rFonts w:asciiTheme="majorHAnsi" w:hAnsiTheme="majorHAnsi" w:cs="Times New Roman"/>
                <w:sz w:val="24"/>
                <w:szCs w:val="24"/>
              </w:rPr>
              <w:t xml:space="preserve"> </w:t>
            </w:r>
            <w:r w:rsidRPr="00173B03">
              <w:rPr>
                <w:rFonts w:asciiTheme="majorHAnsi" w:hAnsiTheme="majorHAnsi" w:cs="Times New Roman"/>
                <w:sz w:val="24"/>
                <w:szCs w:val="24"/>
              </w:rPr>
              <w:t>(</w:t>
            </w:r>
            <w:r w:rsidRPr="00173B03">
              <w:rPr>
                <w:rFonts w:asciiTheme="majorHAnsi" w:hAnsiTheme="majorHAnsi" w:cs="Times New Roman"/>
                <w:sz w:val="24"/>
                <w:szCs w:val="24"/>
              </w:rPr>
              <w:t>2020</w:t>
            </w:r>
            <w:r w:rsidRPr="00173B03">
              <w:rPr>
                <w:rFonts w:asciiTheme="majorHAnsi" w:hAnsiTheme="majorHAnsi" w:cs="Times New Roman"/>
                <w:sz w:val="24"/>
                <w:szCs w:val="24"/>
              </w:rPr>
              <w:t>)</w:t>
            </w:r>
          </w:p>
        </w:tc>
        <w:tc>
          <w:tcPr>
            <w:tcW w:w="4148" w:type="dxa"/>
            <w:gridSpan w:val="2"/>
          </w:tcPr>
          <w:p w14:paraId="1CFB135A" w14:textId="77483834" w:rsidR="00173B03" w:rsidRPr="00173B03" w:rsidRDefault="00173B03" w:rsidP="00915A06">
            <w:pPr>
              <w:rPr>
                <w:rFonts w:asciiTheme="majorHAnsi" w:hAnsiTheme="majorHAnsi"/>
                <w:b/>
                <w:bCs/>
              </w:rPr>
            </w:pPr>
            <w:r w:rsidRPr="00173B03">
              <w:rPr>
                <w:rFonts w:asciiTheme="majorHAnsi" w:hAnsiTheme="majorHAnsi" w:cs="Times New Roman"/>
                <w:sz w:val="24"/>
                <w:szCs w:val="24"/>
              </w:rPr>
              <w:t>Η</w:t>
            </w:r>
            <w:r w:rsidRPr="00173B03">
              <w:rPr>
                <w:rFonts w:asciiTheme="majorHAnsi" w:hAnsiTheme="majorHAnsi" w:cs="Times New Roman"/>
                <w:sz w:val="24"/>
                <w:szCs w:val="24"/>
              </w:rPr>
              <w:t xml:space="preserve"> υποστήριξη και η ενθάρρυνση, αλλά και η παροχή του κατάλληλου χρόνου για επιμορφώσεις και επαγγελματική μάθηση, οδηγούν στην επιθυμητή αυξημένη προθυμία των εκπαιδευτικών να χρησιμοποιήσουν κατάλληλες και σύγχρονες παιδαγωγικές προσεγγίσεις, ενώ μειώνουν και το εργασιακό τους άγχος.</w:t>
            </w:r>
          </w:p>
        </w:tc>
      </w:tr>
      <w:tr w:rsidR="00173B03" w:rsidRPr="00173B03" w14:paraId="4E7F40F4" w14:textId="77777777" w:rsidTr="00173B03">
        <w:tc>
          <w:tcPr>
            <w:tcW w:w="4148" w:type="dxa"/>
          </w:tcPr>
          <w:p w14:paraId="25803AE3" w14:textId="77F6144A" w:rsidR="00173B03" w:rsidRPr="00173B03" w:rsidRDefault="00173B03" w:rsidP="00915A06">
            <w:pPr>
              <w:rPr>
                <w:rFonts w:asciiTheme="majorHAnsi" w:hAnsiTheme="majorHAnsi"/>
              </w:rPr>
            </w:pPr>
            <w:proofErr w:type="spellStart"/>
            <w:r w:rsidRPr="00173B03">
              <w:rPr>
                <w:rFonts w:asciiTheme="majorHAnsi" w:hAnsiTheme="majorHAnsi" w:cs="Times New Roman"/>
                <w:sz w:val="24"/>
                <w:szCs w:val="24"/>
              </w:rPr>
              <w:t>Pressley</w:t>
            </w:r>
            <w:proofErr w:type="spellEnd"/>
            <w:r w:rsidRPr="00173B03">
              <w:rPr>
                <w:rFonts w:asciiTheme="majorHAnsi" w:hAnsiTheme="majorHAnsi" w:cs="Times New Roman"/>
                <w:sz w:val="24"/>
                <w:szCs w:val="24"/>
              </w:rPr>
              <w:t xml:space="preserve"> </w:t>
            </w:r>
            <w:proofErr w:type="spellStart"/>
            <w:r w:rsidRPr="00173B03">
              <w:rPr>
                <w:rFonts w:asciiTheme="majorHAnsi" w:hAnsiTheme="majorHAnsi" w:cs="Times New Roman"/>
                <w:sz w:val="24"/>
                <w:szCs w:val="24"/>
              </w:rPr>
              <w:t>et</w:t>
            </w:r>
            <w:proofErr w:type="spellEnd"/>
            <w:r w:rsidRPr="00173B03">
              <w:rPr>
                <w:rFonts w:asciiTheme="majorHAnsi" w:hAnsiTheme="majorHAnsi" w:cs="Times New Roman"/>
                <w:sz w:val="24"/>
                <w:szCs w:val="24"/>
              </w:rPr>
              <w:t xml:space="preserve"> </w:t>
            </w:r>
            <w:proofErr w:type="spellStart"/>
            <w:r w:rsidRPr="00173B03">
              <w:rPr>
                <w:rFonts w:asciiTheme="majorHAnsi" w:hAnsiTheme="majorHAnsi" w:cs="Times New Roman"/>
                <w:sz w:val="24"/>
                <w:szCs w:val="24"/>
              </w:rPr>
              <w:t>al</w:t>
            </w:r>
            <w:proofErr w:type="spellEnd"/>
            <w:r w:rsidRPr="00173B03">
              <w:rPr>
                <w:rFonts w:asciiTheme="majorHAnsi" w:hAnsiTheme="majorHAnsi" w:cs="Times New Roman"/>
                <w:sz w:val="24"/>
                <w:szCs w:val="24"/>
              </w:rPr>
              <w:t xml:space="preserve">. </w:t>
            </w:r>
            <w:r w:rsidRPr="00173B03">
              <w:rPr>
                <w:rFonts w:asciiTheme="majorHAnsi" w:hAnsiTheme="majorHAnsi" w:cs="Times New Roman"/>
                <w:sz w:val="24"/>
                <w:szCs w:val="24"/>
              </w:rPr>
              <w:t>(</w:t>
            </w:r>
            <w:r w:rsidRPr="00173B03">
              <w:rPr>
                <w:rFonts w:asciiTheme="majorHAnsi" w:hAnsiTheme="majorHAnsi" w:cs="Times New Roman"/>
                <w:sz w:val="24"/>
                <w:szCs w:val="24"/>
              </w:rPr>
              <w:t>2021</w:t>
            </w:r>
            <w:r w:rsidRPr="00173B03">
              <w:rPr>
                <w:rFonts w:asciiTheme="majorHAnsi" w:hAnsiTheme="majorHAnsi" w:cs="Times New Roman"/>
                <w:sz w:val="24"/>
                <w:szCs w:val="24"/>
              </w:rPr>
              <w:t>) (αντίστοιχη μελέτη)</w:t>
            </w:r>
          </w:p>
        </w:tc>
        <w:tc>
          <w:tcPr>
            <w:tcW w:w="4148" w:type="dxa"/>
            <w:gridSpan w:val="2"/>
          </w:tcPr>
          <w:p w14:paraId="435FD51B" w14:textId="6000D2A8" w:rsidR="00173B03" w:rsidRPr="00173B03" w:rsidRDefault="00173B03" w:rsidP="00915A06">
            <w:pPr>
              <w:rPr>
                <w:rFonts w:asciiTheme="majorHAnsi" w:hAnsiTheme="majorHAnsi"/>
              </w:rPr>
            </w:pPr>
            <w:r w:rsidRPr="00173B03">
              <w:rPr>
                <w:rFonts w:asciiTheme="majorHAnsi" w:hAnsiTheme="majorHAnsi" w:cs="Times New Roman"/>
                <w:sz w:val="24"/>
                <w:szCs w:val="24"/>
              </w:rPr>
              <w:t xml:space="preserve">Οι </w:t>
            </w:r>
            <w:r w:rsidRPr="00173B03">
              <w:rPr>
                <w:rFonts w:asciiTheme="majorHAnsi" w:hAnsiTheme="majorHAnsi" w:cs="Times New Roman"/>
                <w:sz w:val="24"/>
                <w:szCs w:val="24"/>
              </w:rPr>
              <w:t xml:space="preserve">εκπαιδευτικοί οι οποίοι δεν εφαρμόζουν νέες πρακτικές στη διδασκαλία τους εντοπίζονται κυρίως σε </w:t>
            </w:r>
            <w:r w:rsidRPr="00173B03">
              <w:rPr>
                <w:rFonts w:asciiTheme="majorHAnsi" w:hAnsiTheme="majorHAnsi" w:cs="Times New Roman"/>
                <w:sz w:val="24"/>
                <w:szCs w:val="24"/>
              </w:rPr>
              <w:lastRenderedPageBreak/>
              <w:t>σχολικό πλαίσιο το οποίο δεν ενθαρρύνει πρωτοβουλίες επιμόρφωσης</w:t>
            </w:r>
            <w:r w:rsidRPr="00173B03">
              <w:rPr>
                <w:rFonts w:asciiTheme="majorHAnsi" w:hAnsiTheme="majorHAnsi" w:cs="Times New Roman"/>
                <w:sz w:val="24"/>
                <w:szCs w:val="24"/>
              </w:rPr>
              <w:t xml:space="preserve">. </w:t>
            </w:r>
          </w:p>
        </w:tc>
      </w:tr>
      <w:tr w:rsidR="00173B03" w:rsidRPr="00173B03" w14:paraId="0E1EC5BC" w14:textId="77777777" w:rsidTr="00173B03">
        <w:tc>
          <w:tcPr>
            <w:tcW w:w="4148" w:type="dxa"/>
          </w:tcPr>
          <w:p w14:paraId="4F589F7F" w14:textId="25A35467" w:rsidR="00173B03" w:rsidRPr="00173B03" w:rsidRDefault="00173B03" w:rsidP="00173B03">
            <w:pPr>
              <w:tabs>
                <w:tab w:val="left" w:pos="3135"/>
              </w:tabs>
              <w:rPr>
                <w:rFonts w:asciiTheme="majorHAnsi" w:hAnsiTheme="majorHAnsi" w:cs="Times New Roman"/>
                <w:b/>
                <w:bCs/>
                <w:sz w:val="24"/>
                <w:szCs w:val="24"/>
              </w:rPr>
            </w:pPr>
            <w:proofErr w:type="spellStart"/>
            <w:r w:rsidRPr="00173B03">
              <w:rPr>
                <w:rFonts w:asciiTheme="majorHAnsi" w:hAnsiTheme="majorHAnsi" w:cs="Times New Roman"/>
                <w:sz w:val="24"/>
                <w:szCs w:val="24"/>
              </w:rPr>
              <w:lastRenderedPageBreak/>
              <w:t>Trikoilis</w:t>
            </w:r>
            <w:proofErr w:type="spellEnd"/>
            <w:r w:rsidRPr="00173B03">
              <w:rPr>
                <w:rFonts w:asciiTheme="majorHAnsi" w:hAnsiTheme="majorHAnsi" w:cs="Times New Roman"/>
                <w:sz w:val="24"/>
                <w:szCs w:val="24"/>
              </w:rPr>
              <w:t xml:space="preserve"> &amp; </w:t>
            </w:r>
            <w:proofErr w:type="spellStart"/>
            <w:r w:rsidRPr="00173B03">
              <w:rPr>
                <w:rFonts w:asciiTheme="majorHAnsi" w:hAnsiTheme="majorHAnsi" w:cs="Times New Roman"/>
                <w:sz w:val="24"/>
                <w:szCs w:val="24"/>
              </w:rPr>
              <w:t>Papanastasiou</w:t>
            </w:r>
            <w:proofErr w:type="spellEnd"/>
            <w:r w:rsidRPr="00173B03">
              <w:rPr>
                <w:rFonts w:asciiTheme="majorHAnsi" w:hAnsiTheme="majorHAnsi" w:cs="Times New Roman"/>
                <w:sz w:val="24"/>
                <w:szCs w:val="24"/>
              </w:rPr>
              <w:t xml:space="preserve"> </w:t>
            </w:r>
            <w:r w:rsidRPr="00173B03">
              <w:rPr>
                <w:rFonts w:asciiTheme="majorHAnsi" w:hAnsiTheme="majorHAnsi" w:cs="Times New Roman"/>
                <w:sz w:val="24"/>
                <w:szCs w:val="24"/>
              </w:rPr>
              <w:t>(</w:t>
            </w:r>
            <w:r w:rsidRPr="00173B03">
              <w:rPr>
                <w:rFonts w:asciiTheme="majorHAnsi" w:hAnsiTheme="majorHAnsi" w:cs="Times New Roman"/>
                <w:sz w:val="24"/>
                <w:szCs w:val="24"/>
              </w:rPr>
              <w:t>2021)</w:t>
            </w:r>
          </w:p>
        </w:tc>
        <w:tc>
          <w:tcPr>
            <w:tcW w:w="4148" w:type="dxa"/>
            <w:gridSpan w:val="2"/>
          </w:tcPr>
          <w:p w14:paraId="15EBB22A" w14:textId="03AB9F8C" w:rsidR="00173B03" w:rsidRPr="00173B03" w:rsidRDefault="00173B03" w:rsidP="00915A06">
            <w:pPr>
              <w:rPr>
                <w:rFonts w:asciiTheme="majorHAnsi" w:hAnsiTheme="majorHAnsi" w:cs="Times New Roman"/>
                <w:sz w:val="24"/>
                <w:szCs w:val="24"/>
              </w:rPr>
            </w:pPr>
            <w:r w:rsidRPr="00173B03">
              <w:rPr>
                <w:rFonts w:asciiTheme="majorHAnsi" w:hAnsiTheme="majorHAnsi" w:cs="Times New Roman"/>
                <w:sz w:val="24"/>
                <w:szCs w:val="24"/>
              </w:rPr>
              <w:t>Η</w:t>
            </w:r>
            <w:r w:rsidRPr="00173B03">
              <w:rPr>
                <w:rFonts w:asciiTheme="majorHAnsi" w:hAnsiTheme="majorHAnsi" w:cs="Times New Roman"/>
                <w:sz w:val="24"/>
                <w:szCs w:val="24"/>
              </w:rPr>
              <w:t xml:space="preserve"> περιοχή και η γεωγραφική τοποθέτηση του σχολείου στο οποίο απασχολούνται οι εκπαιδευτικοί επηρεάζουν σημαντικά τη δυνατότητά τους να συμμετέχουν σε εκπαιδευτικά επιμορφωτικά προγράμματα, ειδικά στον ελλαδικό χώρο</w:t>
            </w:r>
            <w:r w:rsidRPr="00173B03">
              <w:rPr>
                <w:rFonts w:asciiTheme="majorHAnsi" w:hAnsiTheme="majorHAnsi" w:cs="Times New Roman"/>
                <w:sz w:val="24"/>
                <w:szCs w:val="24"/>
              </w:rPr>
              <w:t>.</w:t>
            </w:r>
          </w:p>
        </w:tc>
      </w:tr>
    </w:tbl>
    <w:p w14:paraId="082A7C59" w14:textId="77777777" w:rsidR="00173B03" w:rsidRPr="00173B03" w:rsidRDefault="00173B03" w:rsidP="00915A06">
      <w:pPr>
        <w:rPr>
          <w:rFonts w:asciiTheme="majorHAnsi" w:hAnsiTheme="majorHAnsi"/>
        </w:rPr>
      </w:pPr>
    </w:p>
    <w:tbl>
      <w:tblPr>
        <w:tblStyle w:val="aa"/>
        <w:tblW w:w="0" w:type="auto"/>
        <w:tblLook w:val="04A0" w:firstRow="1" w:lastRow="0" w:firstColumn="1" w:lastColumn="0" w:noHBand="0" w:noVBand="1"/>
      </w:tblPr>
      <w:tblGrid>
        <w:gridCol w:w="4148"/>
        <w:gridCol w:w="3896"/>
        <w:gridCol w:w="252"/>
      </w:tblGrid>
      <w:tr w:rsidR="00173B03" w:rsidRPr="00173B03" w14:paraId="6099C48C" w14:textId="6A01EDF0" w:rsidTr="00173B03">
        <w:tc>
          <w:tcPr>
            <w:tcW w:w="8044" w:type="dxa"/>
            <w:gridSpan w:val="2"/>
          </w:tcPr>
          <w:p w14:paraId="697FA2E9" w14:textId="0FFF4992" w:rsidR="00173B03" w:rsidRPr="00173B03" w:rsidRDefault="00173B03" w:rsidP="00173B03">
            <w:pPr>
              <w:pStyle w:val="2"/>
              <w:spacing w:line="360" w:lineRule="auto"/>
              <w:jc w:val="both"/>
              <w:rPr>
                <w:rFonts w:eastAsiaTheme="minorHAnsi" w:cs="Times New Roman"/>
                <w:b/>
                <w:bCs/>
                <w:color w:val="auto"/>
                <w:sz w:val="24"/>
                <w:szCs w:val="24"/>
              </w:rPr>
            </w:pPr>
            <w:r w:rsidRPr="00173B03">
              <w:rPr>
                <w:rFonts w:eastAsiaTheme="minorHAnsi" w:cs="Times New Roman"/>
                <w:b/>
                <w:bCs/>
                <w:color w:val="auto"/>
                <w:sz w:val="24"/>
                <w:szCs w:val="24"/>
              </w:rPr>
              <w:t>4.4 Πραγματικότητα στον Ελλαδικό χώρο</w:t>
            </w:r>
          </w:p>
        </w:tc>
        <w:tc>
          <w:tcPr>
            <w:tcW w:w="252" w:type="dxa"/>
          </w:tcPr>
          <w:p w14:paraId="6711F0FE" w14:textId="77777777" w:rsidR="00173B03" w:rsidRPr="00173B03" w:rsidRDefault="00173B03" w:rsidP="00915A06">
            <w:pPr>
              <w:rPr>
                <w:rFonts w:asciiTheme="majorHAnsi" w:hAnsiTheme="majorHAnsi"/>
                <w:b/>
                <w:bCs/>
                <w:sz w:val="24"/>
                <w:szCs w:val="24"/>
              </w:rPr>
            </w:pPr>
          </w:p>
        </w:tc>
      </w:tr>
      <w:tr w:rsidR="00173B03" w:rsidRPr="00173B03" w14:paraId="16B1A8B1" w14:textId="36573430" w:rsidTr="00173B03">
        <w:tc>
          <w:tcPr>
            <w:tcW w:w="4148" w:type="dxa"/>
          </w:tcPr>
          <w:p w14:paraId="06160B06" w14:textId="561B0A61" w:rsidR="00173B03" w:rsidRPr="00173B03" w:rsidRDefault="00173B03" w:rsidP="00173B03">
            <w:pPr>
              <w:rPr>
                <w:rFonts w:asciiTheme="majorHAnsi" w:hAnsiTheme="majorHAnsi"/>
              </w:rPr>
            </w:pPr>
            <w:proofErr w:type="spellStart"/>
            <w:r w:rsidRPr="00173B03">
              <w:rPr>
                <w:rFonts w:asciiTheme="majorHAnsi" w:hAnsiTheme="majorHAnsi" w:cs="Times New Roman"/>
                <w:sz w:val="24"/>
                <w:szCs w:val="24"/>
              </w:rPr>
              <w:t>Pliogou</w:t>
            </w:r>
            <w:proofErr w:type="spellEnd"/>
            <w:r w:rsidRPr="00173B03">
              <w:rPr>
                <w:rFonts w:asciiTheme="majorHAnsi" w:hAnsiTheme="majorHAnsi" w:cs="Times New Roman"/>
                <w:sz w:val="24"/>
                <w:szCs w:val="24"/>
              </w:rPr>
              <w:t xml:space="preserve"> </w:t>
            </w:r>
            <w:r w:rsidRPr="00173B03">
              <w:rPr>
                <w:rFonts w:asciiTheme="majorHAnsi" w:hAnsiTheme="majorHAnsi" w:cs="Times New Roman"/>
                <w:sz w:val="24"/>
                <w:szCs w:val="24"/>
                <w:lang w:val="en-US"/>
              </w:rPr>
              <w:t>et</w:t>
            </w:r>
            <w:r w:rsidRPr="00173B03">
              <w:rPr>
                <w:rFonts w:asciiTheme="majorHAnsi" w:hAnsiTheme="majorHAnsi" w:cs="Times New Roman"/>
                <w:sz w:val="24"/>
                <w:szCs w:val="24"/>
              </w:rPr>
              <w:t xml:space="preserve"> </w:t>
            </w:r>
            <w:r w:rsidRPr="00173B03">
              <w:rPr>
                <w:rFonts w:asciiTheme="majorHAnsi" w:hAnsiTheme="majorHAnsi" w:cs="Times New Roman"/>
                <w:sz w:val="24"/>
                <w:szCs w:val="24"/>
                <w:lang w:val="en-US"/>
              </w:rPr>
              <w:t>al</w:t>
            </w:r>
            <w:r w:rsidRPr="00173B03">
              <w:rPr>
                <w:rFonts w:asciiTheme="majorHAnsi" w:hAnsiTheme="majorHAnsi" w:cs="Times New Roman"/>
                <w:sz w:val="24"/>
                <w:szCs w:val="24"/>
              </w:rPr>
              <w:t xml:space="preserve">. </w:t>
            </w:r>
            <w:r w:rsidRPr="00173B03">
              <w:rPr>
                <w:rFonts w:asciiTheme="majorHAnsi" w:hAnsiTheme="majorHAnsi" w:cs="Times New Roman"/>
                <w:sz w:val="24"/>
                <w:szCs w:val="24"/>
              </w:rPr>
              <w:t>(</w:t>
            </w:r>
            <w:r w:rsidRPr="00173B03">
              <w:rPr>
                <w:rFonts w:asciiTheme="majorHAnsi" w:hAnsiTheme="majorHAnsi" w:cs="Times New Roman"/>
                <w:sz w:val="24"/>
                <w:szCs w:val="24"/>
              </w:rPr>
              <w:t>2024</w:t>
            </w:r>
            <w:r w:rsidRPr="00173B03">
              <w:rPr>
                <w:rFonts w:asciiTheme="majorHAnsi" w:hAnsiTheme="majorHAnsi" w:cs="Times New Roman"/>
                <w:sz w:val="24"/>
                <w:szCs w:val="24"/>
              </w:rPr>
              <w:t>)</w:t>
            </w:r>
          </w:p>
        </w:tc>
        <w:tc>
          <w:tcPr>
            <w:tcW w:w="4148" w:type="dxa"/>
            <w:gridSpan w:val="2"/>
          </w:tcPr>
          <w:p w14:paraId="4A79EF34" w14:textId="5997B370" w:rsidR="00173B03" w:rsidRPr="00173B03" w:rsidRDefault="00173B03" w:rsidP="00915A06">
            <w:pPr>
              <w:rPr>
                <w:rFonts w:asciiTheme="majorHAnsi" w:hAnsiTheme="majorHAnsi"/>
              </w:rPr>
            </w:pPr>
            <w:r w:rsidRPr="00173B03">
              <w:rPr>
                <w:rFonts w:asciiTheme="majorHAnsi" w:hAnsiTheme="majorHAnsi" w:cs="Times New Roman"/>
                <w:sz w:val="24"/>
                <w:szCs w:val="24"/>
              </w:rPr>
              <w:t>Τ</w:t>
            </w:r>
            <w:r w:rsidRPr="00173B03">
              <w:rPr>
                <w:rFonts w:asciiTheme="majorHAnsi" w:hAnsiTheme="majorHAnsi" w:cs="Times New Roman"/>
                <w:sz w:val="24"/>
                <w:szCs w:val="24"/>
              </w:rPr>
              <w:t>α εθνικά προγράμματα επιμόρφωσης βελτίωσαν σε υψηλό βαθμό τις ψηφιακές δεξιότητες των νηπιαγωγών. Ωστόσο, αναδείχθηκαν και σημαντικές ανισότητες μεταξύ των περιοχών στις οποίες βρίσκονταν τα σχολεία, λόγω της έλλειψης των κατάλληλων πόρων</w:t>
            </w:r>
            <w:r w:rsidRPr="00173B03">
              <w:rPr>
                <w:rFonts w:asciiTheme="majorHAnsi" w:hAnsiTheme="majorHAnsi" w:cs="Times New Roman"/>
                <w:sz w:val="24"/>
                <w:szCs w:val="24"/>
              </w:rPr>
              <w:t>.</w:t>
            </w:r>
          </w:p>
        </w:tc>
      </w:tr>
      <w:tr w:rsidR="00173B03" w:rsidRPr="00173B03" w14:paraId="212DF562" w14:textId="42DA6898" w:rsidTr="00173B03">
        <w:tc>
          <w:tcPr>
            <w:tcW w:w="4148" w:type="dxa"/>
          </w:tcPr>
          <w:p w14:paraId="38A15B07" w14:textId="3CE28CFA" w:rsidR="00173B03" w:rsidRPr="00173B03" w:rsidRDefault="00173B03" w:rsidP="00915A06">
            <w:pPr>
              <w:rPr>
                <w:rFonts w:asciiTheme="majorHAnsi" w:hAnsiTheme="majorHAnsi"/>
              </w:rPr>
            </w:pPr>
            <w:proofErr w:type="spellStart"/>
            <w:r w:rsidRPr="00173B03">
              <w:rPr>
                <w:rFonts w:asciiTheme="majorHAnsi" w:hAnsiTheme="majorHAnsi" w:cs="Times New Roman"/>
                <w:sz w:val="24"/>
                <w:szCs w:val="24"/>
              </w:rPr>
              <w:t>Trikoilis</w:t>
            </w:r>
            <w:proofErr w:type="spellEnd"/>
            <w:r w:rsidRPr="00173B03">
              <w:rPr>
                <w:rFonts w:asciiTheme="majorHAnsi" w:hAnsiTheme="majorHAnsi" w:cs="Times New Roman"/>
                <w:sz w:val="24"/>
                <w:szCs w:val="24"/>
              </w:rPr>
              <w:t xml:space="preserve"> &amp; </w:t>
            </w:r>
            <w:proofErr w:type="spellStart"/>
            <w:r w:rsidRPr="00173B03">
              <w:rPr>
                <w:rFonts w:asciiTheme="majorHAnsi" w:hAnsiTheme="majorHAnsi" w:cs="Times New Roman"/>
                <w:sz w:val="24"/>
                <w:szCs w:val="24"/>
              </w:rPr>
              <w:t>Papanastasiou</w:t>
            </w:r>
            <w:proofErr w:type="spellEnd"/>
            <w:r w:rsidRPr="00173B03">
              <w:rPr>
                <w:rFonts w:asciiTheme="majorHAnsi" w:hAnsiTheme="majorHAnsi" w:cs="Times New Roman"/>
                <w:sz w:val="24"/>
                <w:szCs w:val="24"/>
              </w:rPr>
              <w:t xml:space="preserve"> (2021)</w:t>
            </w:r>
          </w:p>
        </w:tc>
        <w:tc>
          <w:tcPr>
            <w:tcW w:w="4148" w:type="dxa"/>
            <w:gridSpan w:val="2"/>
          </w:tcPr>
          <w:p w14:paraId="4FEB6CBB" w14:textId="25FE0FFC" w:rsidR="00173B03" w:rsidRPr="00173B03" w:rsidRDefault="00173B03" w:rsidP="00173B03">
            <w:pPr>
              <w:rPr>
                <w:rFonts w:asciiTheme="majorHAnsi" w:hAnsiTheme="majorHAnsi"/>
              </w:rPr>
            </w:pPr>
            <w:r w:rsidRPr="00173B03">
              <w:rPr>
                <w:rFonts w:asciiTheme="majorHAnsi" w:hAnsiTheme="majorHAnsi" w:cs="Times New Roman"/>
                <w:sz w:val="24"/>
                <w:szCs w:val="24"/>
              </w:rPr>
              <w:t xml:space="preserve">Η ευρωπαϊκή επιτροπή ταυτόχρονα καθιστά σαφές ότι η Ελλάδα έχει δώσει ιδιαίτερη βάση στα προγράμματα δια βίου μάθησης, αλλά και στην ανάπτυξη νέων επιμορφωτικών δομών, όπως τα </w:t>
            </w:r>
            <w:proofErr w:type="spellStart"/>
            <w:r w:rsidRPr="00173B03">
              <w:rPr>
                <w:rFonts w:asciiTheme="majorHAnsi" w:hAnsiTheme="majorHAnsi" w:cs="Times New Roman"/>
                <w:sz w:val="24"/>
                <w:szCs w:val="24"/>
              </w:rPr>
              <w:t>ΚΕΔΙΒΙΜ</w:t>
            </w:r>
            <w:proofErr w:type="spellEnd"/>
            <w:r w:rsidRPr="00173B03">
              <w:rPr>
                <w:rFonts w:asciiTheme="majorHAnsi" w:hAnsiTheme="majorHAnsi" w:cs="Times New Roman"/>
                <w:sz w:val="24"/>
                <w:szCs w:val="24"/>
              </w:rPr>
              <w:t xml:space="preserve"> (European Commission, 2023).</w:t>
            </w:r>
          </w:p>
        </w:tc>
      </w:tr>
      <w:tr w:rsidR="00173B03" w:rsidRPr="00173B03" w14:paraId="4F3190D2" w14:textId="15B70FC9" w:rsidTr="00173B03">
        <w:tc>
          <w:tcPr>
            <w:tcW w:w="4148" w:type="dxa"/>
          </w:tcPr>
          <w:p w14:paraId="7B2B8245" w14:textId="0479CA54" w:rsidR="00173B03" w:rsidRPr="00173B03" w:rsidRDefault="00173B03" w:rsidP="00173B03">
            <w:pPr>
              <w:tabs>
                <w:tab w:val="left" w:pos="2607"/>
              </w:tabs>
              <w:rPr>
                <w:rFonts w:asciiTheme="majorHAnsi" w:hAnsiTheme="majorHAnsi"/>
              </w:rPr>
            </w:pPr>
            <w:proofErr w:type="spellStart"/>
            <w:r w:rsidRPr="00173B03">
              <w:rPr>
                <w:rFonts w:asciiTheme="majorHAnsi" w:hAnsiTheme="majorHAnsi" w:cs="Times New Roman"/>
                <w:sz w:val="24"/>
                <w:szCs w:val="24"/>
              </w:rPr>
              <w:t>Koutsika</w:t>
            </w:r>
            <w:proofErr w:type="spellEnd"/>
            <w:r w:rsidRPr="00173B03">
              <w:rPr>
                <w:rFonts w:asciiTheme="majorHAnsi" w:hAnsiTheme="majorHAnsi" w:cs="Times New Roman"/>
                <w:sz w:val="24"/>
                <w:szCs w:val="24"/>
              </w:rPr>
              <w:t xml:space="preserve">, </w:t>
            </w:r>
            <w:proofErr w:type="spellStart"/>
            <w:r w:rsidRPr="00173B03">
              <w:rPr>
                <w:rFonts w:asciiTheme="majorHAnsi" w:hAnsiTheme="majorHAnsi" w:cs="Times New Roman"/>
                <w:sz w:val="24"/>
                <w:szCs w:val="24"/>
              </w:rPr>
              <w:t>Hatzitheodorou</w:t>
            </w:r>
            <w:proofErr w:type="spellEnd"/>
            <w:r w:rsidRPr="00173B03">
              <w:rPr>
                <w:rFonts w:asciiTheme="majorHAnsi" w:hAnsiTheme="majorHAnsi" w:cs="Times New Roman"/>
                <w:sz w:val="24"/>
                <w:szCs w:val="24"/>
              </w:rPr>
              <w:t xml:space="preserve"> </w:t>
            </w:r>
            <w:r w:rsidRPr="00173B03">
              <w:rPr>
                <w:rFonts w:asciiTheme="majorHAnsi" w:hAnsiTheme="majorHAnsi" w:cs="Times New Roman"/>
                <w:sz w:val="24"/>
                <w:szCs w:val="24"/>
              </w:rPr>
              <w:t>&amp;</w:t>
            </w:r>
            <w:proofErr w:type="spellStart"/>
            <w:r w:rsidRPr="00173B03">
              <w:rPr>
                <w:rFonts w:asciiTheme="majorHAnsi" w:hAnsiTheme="majorHAnsi" w:cs="Times New Roman"/>
                <w:sz w:val="24"/>
                <w:szCs w:val="24"/>
              </w:rPr>
              <w:t>Zafiri</w:t>
            </w:r>
            <w:proofErr w:type="spellEnd"/>
            <w:r w:rsidRPr="00173B03">
              <w:rPr>
                <w:rFonts w:asciiTheme="majorHAnsi" w:hAnsiTheme="majorHAnsi" w:cs="Times New Roman"/>
                <w:sz w:val="24"/>
                <w:szCs w:val="24"/>
              </w:rPr>
              <w:t xml:space="preserve"> (2023)</w:t>
            </w:r>
          </w:p>
        </w:tc>
        <w:tc>
          <w:tcPr>
            <w:tcW w:w="4148" w:type="dxa"/>
            <w:gridSpan w:val="2"/>
          </w:tcPr>
          <w:p w14:paraId="2AE5614C" w14:textId="0350D96F" w:rsidR="00173B03" w:rsidRPr="00173B03" w:rsidRDefault="00173B03" w:rsidP="00915A06">
            <w:pPr>
              <w:rPr>
                <w:rFonts w:asciiTheme="majorHAnsi" w:hAnsiTheme="majorHAnsi"/>
              </w:rPr>
            </w:pPr>
            <w:r w:rsidRPr="00173B03">
              <w:rPr>
                <w:rFonts w:asciiTheme="majorHAnsi" w:hAnsiTheme="majorHAnsi" w:cs="Times New Roman"/>
                <w:sz w:val="24"/>
                <w:szCs w:val="24"/>
              </w:rPr>
              <w:t>Ο</w:t>
            </w:r>
            <w:r w:rsidRPr="00173B03">
              <w:rPr>
                <w:rFonts w:asciiTheme="majorHAnsi" w:hAnsiTheme="majorHAnsi" w:cs="Times New Roman"/>
                <w:sz w:val="24"/>
                <w:szCs w:val="24"/>
              </w:rPr>
              <w:t xml:space="preserve"> ομότιμος </w:t>
            </w:r>
            <w:proofErr w:type="spellStart"/>
            <w:r w:rsidRPr="00173B03">
              <w:rPr>
                <w:rFonts w:asciiTheme="majorHAnsi" w:hAnsiTheme="majorHAnsi" w:cs="Times New Roman"/>
                <w:sz w:val="24"/>
                <w:szCs w:val="24"/>
              </w:rPr>
              <w:t>αναστοχασμός</w:t>
            </w:r>
            <w:proofErr w:type="spellEnd"/>
            <w:r w:rsidRPr="00173B03">
              <w:rPr>
                <w:rFonts w:asciiTheme="majorHAnsi" w:hAnsiTheme="majorHAnsi" w:cs="Times New Roman"/>
                <w:sz w:val="24"/>
                <w:szCs w:val="24"/>
              </w:rPr>
              <w:t xml:space="preserve"> και η κοινή προετοιμασία προγραμμάτων σπουδών οδηγούν σε ένα ιδιαίτερα υψηλό επίπεδο </w:t>
            </w:r>
            <w:proofErr w:type="spellStart"/>
            <w:r w:rsidRPr="00173B03">
              <w:rPr>
                <w:rFonts w:asciiTheme="majorHAnsi" w:hAnsiTheme="majorHAnsi" w:cs="Times New Roman"/>
                <w:sz w:val="24"/>
                <w:szCs w:val="24"/>
              </w:rPr>
              <w:t>αυτοαποτελεσματικότητας</w:t>
            </w:r>
            <w:proofErr w:type="spellEnd"/>
            <w:r w:rsidRPr="00173B03">
              <w:rPr>
                <w:rFonts w:asciiTheme="majorHAnsi" w:hAnsiTheme="majorHAnsi" w:cs="Times New Roman"/>
                <w:sz w:val="24"/>
                <w:szCs w:val="24"/>
              </w:rPr>
              <w:t>, αλλά και επαγγελματικής αυτονομίας</w:t>
            </w:r>
          </w:p>
        </w:tc>
      </w:tr>
    </w:tbl>
    <w:p w14:paraId="217131BB" w14:textId="77777777" w:rsidR="00173B03" w:rsidRPr="00173B03" w:rsidRDefault="00173B03" w:rsidP="00915A06">
      <w:pPr>
        <w:rPr>
          <w:rFonts w:asciiTheme="majorHAnsi" w:hAnsiTheme="majorHAnsi"/>
        </w:rPr>
      </w:pPr>
    </w:p>
    <w:sectPr w:rsidR="00173B03" w:rsidRPr="00173B0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A06"/>
    <w:rsid w:val="000C1432"/>
    <w:rsid w:val="00126D40"/>
    <w:rsid w:val="00173B03"/>
    <w:rsid w:val="004A7243"/>
    <w:rsid w:val="005D1565"/>
    <w:rsid w:val="00915A0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4:docId w14:val="541A882A"/>
  <w15:chartTrackingRefBased/>
  <w15:docId w15:val="{E43F3B95-EA8D-5740-AC3F-A8089014A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5A06"/>
    <w:pPr>
      <w:spacing w:after="160" w:line="259" w:lineRule="auto"/>
    </w:pPr>
    <w:rPr>
      <w:sz w:val="22"/>
      <w:szCs w:val="22"/>
    </w:rPr>
  </w:style>
  <w:style w:type="paragraph" w:styleId="1">
    <w:name w:val="heading 1"/>
    <w:basedOn w:val="a"/>
    <w:next w:val="a"/>
    <w:link w:val="1Char"/>
    <w:uiPriority w:val="9"/>
    <w:qFormat/>
    <w:rsid w:val="00915A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unhideWhenUsed/>
    <w:qFormat/>
    <w:rsid w:val="00915A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915A0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915A0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915A0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915A06"/>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15A06"/>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15A06"/>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15A06"/>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15A06"/>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rsid w:val="00915A06"/>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915A06"/>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915A06"/>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915A06"/>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915A06"/>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915A06"/>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915A06"/>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915A06"/>
    <w:rPr>
      <w:rFonts w:eastAsiaTheme="majorEastAsia" w:cstheme="majorBidi"/>
      <w:color w:val="272727" w:themeColor="text1" w:themeTint="D8"/>
    </w:rPr>
  </w:style>
  <w:style w:type="paragraph" w:styleId="a3">
    <w:name w:val="Title"/>
    <w:basedOn w:val="a"/>
    <w:next w:val="a"/>
    <w:link w:val="Char"/>
    <w:uiPriority w:val="10"/>
    <w:qFormat/>
    <w:rsid w:val="00915A06"/>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915A0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15A06"/>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915A0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15A06"/>
    <w:pPr>
      <w:spacing w:before="160"/>
      <w:jc w:val="center"/>
    </w:pPr>
    <w:rPr>
      <w:i/>
      <w:iCs/>
      <w:color w:val="404040" w:themeColor="text1" w:themeTint="BF"/>
    </w:rPr>
  </w:style>
  <w:style w:type="character" w:customStyle="1" w:styleId="Char1">
    <w:name w:val="Απόσπασμα Char"/>
    <w:basedOn w:val="a0"/>
    <w:link w:val="a5"/>
    <w:uiPriority w:val="29"/>
    <w:rsid w:val="00915A06"/>
    <w:rPr>
      <w:i/>
      <w:iCs/>
      <w:color w:val="404040" w:themeColor="text1" w:themeTint="BF"/>
    </w:rPr>
  </w:style>
  <w:style w:type="paragraph" w:styleId="a6">
    <w:name w:val="List Paragraph"/>
    <w:basedOn w:val="a"/>
    <w:uiPriority w:val="34"/>
    <w:qFormat/>
    <w:rsid w:val="00915A06"/>
    <w:pPr>
      <w:ind w:left="720"/>
      <w:contextualSpacing/>
    </w:pPr>
  </w:style>
  <w:style w:type="character" w:styleId="a7">
    <w:name w:val="Intense Emphasis"/>
    <w:basedOn w:val="a0"/>
    <w:uiPriority w:val="21"/>
    <w:qFormat/>
    <w:rsid w:val="00915A06"/>
    <w:rPr>
      <w:i/>
      <w:iCs/>
      <w:color w:val="0F4761" w:themeColor="accent1" w:themeShade="BF"/>
    </w:rPr>
  </w:style>
  <w:style w:type="paragraph" w:styleId="a8">
    <w:name w:val="Intense Quote"/>
    <w:basedOn w:val="a"/>
    <w:next w:val="a"/>
    <w:link w:val="Char2"/>
    <w:uiPriority w:val="30"/>
    <w:qFormat/>
    <w:rsid w:val="00915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915A06"/>
    <w:rPr>
      <w:i/>
      <w:iCs/>
      <w:color w:val="0F4761" w:themeColor="accent1" w:themeShade="BF"/>
    </w:rPr>
  </w:style>
  <w:style w:type="character" w:styleId="a9">
    <w:name w:val="Intense Reference"/>
    <w:basedOn w:val="a0"/>
    <w:uiPriority w:val="32"/>
    <w:qFormat/>
    <w:rsid w:val="00915A06"/>
    <w:rPr>
      <w:b/>
      <w:bCs/>
      <w:smallCaps/>
      <w:color w:val="0F4761" w:themeColor="accent1" w:themeShade="BF"/>
      <w:spacing w:val="5"/>
    </w:rPr>
  </w:style>
  <w:style w:type="table" w:styleId="aa">
    <w:name w:val="Table Grid"/>
    <w:basedOn w:val="a1"/>
    <w:uiPriority w:val="39"/>
    <w:rsid w:val="00915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0">
    <w:name w:val="Plain Table 1"/>
    <w:basedOn w:val="a1"/>
    <w:uiPriority w:val="41"/>
    <w:rsid w:val="00173B0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0">
    <w:name w:val="Plain Table 2"/>
    <w:basedOn w:val="a1"/>
    <w:uiPriority w:val="42"/>
    <w:rsid w:val="00173B0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0">
    <w:name w:val="Plain Table 3"/>
    <w:basedOn w:val="a1"/>
    <w:uiPriority w:val="43"/>
    <w:rsid w:val="00173B0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0">
    <w:name w:val="Plain Table 4"/>
    <w:basedOn w:val="a1"/>
    <w:uiPriority w:val="44"/>
    <w:rsid w:val="00173B0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1">
    <w:name w:val="Grid Table 1 Light"/>
    <w:basedOn w:val="a1"/>
    <w:uiPriority w:val="46"/>
    <w:rsid w:val="00173B0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ab">
    <w:name w:val="Strong"/>
    <w:basedOn w:val="a0"/>
    <w:uiPriority w:val="22"/>
    <w:qFormat/>
    <w:rsid w:val="00173B03"/>
    <w:rPr>
      <w:b/>
      <w:bCs/>
    </w:rPr>
  </w:style>
  <w:style w:type="character" w:customStyle="1" w:styleId="apple-converted-space">
    <w:name w:val="apple-converted-space"/>
    <w:basedOn w:val="a0"/>
    <w:rsid w:val="00173B03"/>
  </w:style>
  <w:style w:type="character" w:styleId="ac">
    <w:name w:val="Emphasis"/>
    <w:basedOn w:val="a0"/>
    <w:uiPriority w:val="20"/>
    <w:qFormat/>
    <w:rsid w:val="00173B0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5</Pages>
  <Words>1002</Words>
  <Characters>5417</Characters>
  <Application>Microsoft Office Word</Application>
  <DocSecurity>0</DocSecurity>
  <Lines>45</Lines>
  <Paragraphs>12</Paragraphs>
  <ScaleCrop>false</ScaleCrop>
  <Company/>
  <LinksUpToDate>false</LinksUpToDate>
  <CharactersWithSpaces>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Ευθυμία Πραμπρόμη</dc:creator>
  <cp:keywords/>
  <dc:description/>
  <cp:lastModifiedBy>Ευθυμία Πραμπρόμη</cp:lastModifiedBy>
  <cp:revision>3</cp:revision>
  <dcterms:created xsi:type="dcterms:W3CDTF">2025-12-11T12:32:00Z</dcterms:created>
  <dcterms:modified xsi:type="dcterms:W3CDTF">2025-12-11T20:48:00Z</dcterms:modified>
</cp:coreProperties>
</file>